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A091" w14:textId="2EF44FB9" w:rsidR="00C439A3" w:rsidRDefault="00130DB4" w:rsidP="00130DB4">
      <w:pPr>
        <w:jc w:val="center"/>
      </w:pPr>
      <w:r w:rsidRPr="00130DB4">
        <w:rPr>
          <w:noProof/>
        </w:rPr>
        <w:drawing>
          <wp:inline distT="0" distB="0" distL="0" distR="0" wp14:anchorId="6DA3472B" wp14:editId="5B440524">
            <wp:extent cx="969010" cy="960120"/>
            <wp:effectExtent l="0" t="0" r="2540" b="0"/>
            <wp:docPr id="1835701554" name="Picture 1"/>
            <wp:cNvGraphicFramePr/>
            <a:graphic xmlns:a="http://schemas.openxmlformats.org/drawingml/2006/main">
              <a:graphicData uri="http://schemas.openxmlformats.org/drawingml/2006/picture">
                <pic:pic xmlns:pic="http://schemas.openxmlformats.org/drawingml/2006/picture">
                  <pic:nvPicPr>
                    <pic:cNvPr id="183570155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2C91516" w14:textId="77777777" w:rsidR="00130DB4" w:rsidRDefault="00130DB4">
      <w:pPr>
        <w:jc w:val="right"/>
      </w:pPr>
    </w:p>
    <w:p w14:paraId="4299BFAE" w14:textId="6BE9D098" w:rsidR="00C439A3" w:rsidRDefault="00C439A3">
      <w:pPr>
        <w:pStyle w:val="CoverText"/>
        <w:jc w:val="left"/>
        <w:rPr>
          <w:bCs/>
          <w:sz w:val="20"/>
          <w:u w:val="none"/>
        </w:rPr>
      </w:pPr>
      <w:r>
        <w:rPr>
          <w:bCs/>
        </w:rPr>
        <w:t xml:space="preserve">Neutral Citation Number: </w:t>
      </w:r>
      <w:r w:rsidR="00211B83">
        <w:rPr>
          <w:bCs/>
        </w:rPr>
        <w:t xml:space="preserve">[2025] EWCA </w:t>
      </w:r>
      <w:proofErr w:type="spellStart"/>
      <w:r w:rsidR="00211B83">
        <w:rPr>
          <w:bCs/>
        </w:rPr>
        <w:t>Civ</w:t>
      </w:r>
      <w:proofErr w:type="spellEnd"/>
      <w:r w:rsidR="00211B83">
        <w:rPr>
          <w:bCs/>
        </w:rPr>
        <w:t xml:space="preserve"> 905</w:t>
      </w:r>
      <w:r>
        <w:rPr>
          <w:bCs/>
        </w:rPr>
        <w:br/>
      </w:r>
    </w:p>
    <w:p w14:paraId="1F5B4A5C" w14:textId="018C2541" w:rsidR="00C439A3" w:rsidRDefault="00C439A3">
      <w:pPr>
        <w:pStyle w:val="CoverText"/>
        <w:rPr>
          <w:b/>
          <w:spacing w:val="-3"/>
        </w:rPr>
      </w:pPr>
      <w:r>
        <w:t xml:space="preserve">Case No: </w:t>
      </w:r>
      <w:r w:rsidR="00053223">
        <w:t>CA-2024-002080</w:t>
      </w:r>
    </w:p>
    <w:p w14:paraId="0C405E3A"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053223">
        <w:t>CIVIL</w:t>
      </w:r>
      <w:r>
        <w:t xml:space="preserve"> DIVISION)</w:t>
      </w:r>
    </w:p>
    <w:p w14:paraId="7790C69C" w14:textId="77777777" w:rsidR="003A541D"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3A1DC2">
        <w:t xml:space="preserve">THE </w:t>
      </w:r>
      <w:r w:rsidR="003A541D">
        <w:t xml:space="preserve">HIGH COURT OF JUSTICE </w:t>
      </w:r>
    </w:p>
    <w:p w14:paraId="587B02E4" w14:textId="40BB96B0" w:rsidR="006A7C79" w:rsidRDefault="003A1DC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w:t>
      </w:r>
      <w:r w:rsidR="006A7C79">
        <w:t xml:space="preserve">SINESS AND PROPERTY COURTS </w:t>
      </w:r>
    </w:p>
    <w:p w14:paraId="1C6B9065" w14:textId="27F76218" w:rsidR="00C439A3" w:rsidRDefault="006A7C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OF ENGLAND AND WALES</w:t>
      </w:r>
    </w:p>
    <w:p w14:paraId="708BFB90" w14:textId="68EEB089" w:rsidR="006A7C79" w:rsidRDefault="006A7C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COMMERICAL COURT</w:t>
      </w:r>
    </w:p>
    <w:p w14:paraId="658F2471" w14:textId="673BA190" w:rsidR="00C439A3" w:rsidRDefault="006A7C7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FOXTON</w:t>
      </w:r>
      <w:r w:rsidR="003A541D">
        <w:t xml:space="preserve"> (KBD)</w:t>
      </w:r>
    </w:p>
    <w:p w14:paraId="2E774813" w14:textId="77777777" w:rsidR="003C583E" w:rsidRDefault="00AF7B1C" w:rsidP="00F97310">
      <w:pPr>
        <w:pStyle w:val="CoverText"/>
        <w:jc w:val="left"/>
      </w:pPr>
      <w:r w:rsidRPr="00655AF9">
        <w:t>[2024] EWHC 2037 (Comm)</w:t>
      </w:r>
    </w:p>
    <w:p w14:paraId="049A84EB" w14:textId="77777777" w:rsidR="003C583E" w:rsidRDefault="003C583E">
      <w:pPr>
        <w:pStyle w:val="CoverText"/>
      </w:pPr>
    </w:p>
    <w:p w14:paraId="2B28C027" w14:textId="3114C371" w:rsidR="00C439A3" w:rsidRDefault="00C439A3">
      <w:pPr>
        <w:pStyle w:val="CoverText"/>
      </w:pPr>
      <w:r>
        <w:t>Royal Courts of Justice</w:t>
      </w:r>
    </w:p>
    <w:p w14:paraId="55605DC6" w14:textId="77777777" w:rsidR="00C439A3" w:rsidRDefault="00C439A3">
      <w:pPr>
        <w:pStyle w:val="CoverText"/>
      </w:pPr>
      <w:r>
        <w:t>Strand, London, WC2A 2LL</w:t>
      </w:r>
    </w:p>
    <w:p w14:paraId="6CFA6B50" w14:textId="77777777" w:rsidR="00C439A3" w:rsidRDefault="00C439A3">
      <w:pPr>
        <w:suppressAutoHyphens/>
        <w:jc w:val="right"/>
        <w:rPr>
          <w:spacing w:val="-3"/>
          <w:u w:val="single"/>
        </w:rPr>
      </w:pPr>
    </w:p>
    <w:p w14:paraId="5DF3DBF7" w14:textId="1D32114A" w:rsidR="00C439A3" w:rsidRDefault="00C439A3">
      <w:pPr>
        <w:pStyle w:val="CoverText"/>
        <w:rPr>
          <w:b/>
        </w:rPr>
      </w:pPr>
      <w:r>
        <w:t xml:space="preserve">Date: </w:t>
      </w:r>
      <w:r w:rsidR="00211B83">
        <w:t>17 July 2025</w:t>
      </w:r>
    </w:p>
    <w:p w14:paraId="6F4A6EF7" w14:textId="1F355078" w:rsidR="00C439A3" w:rsidRDefault="00C439A3">
      <w:pPr>
        <w:suppressAutoHyphens/>
        <w:jc w:val="center"/>
        <w:rPr>
          <w:b/>
          <w:spacing w:val="-3"/>
        </w:rPr>
      </w:pPr>
      <w:r>
        <w:rPr>
          <w:b/>
          <w:spacing w:val="-3"/>
        </w:rPr>
        <w:t>Before:</w:t>
      </w:r>
    </w:p>
    <w:p w14:paraId="4D26D228" w14:textId="7C1B2EF9" w:rsidR="00C439A3" w:rsidRDefault="0005322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BEAN</w:t>
      </w:r>
    </w:p>
    <w:p w14:paraId="655930AE" w14:textId="66BF9BB6" w:rsidR="00C439A3" w:rsidRDefault="0005322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PHILLIPS</w:t>
      </w:r>
      <w:r w:rsidR="00C439A3">
        <w:br/>
      </w:r>
      <w:r w:rsidR="00C439A3">
        <w:rPr>
          <w:b w:val="0"/>
          <w:bCs/>
          <w:u w:val="none"/>
        </w:rPr>
        <w:t>and</w:t>
      </w:r>
    </w:p>
    <w:p w14:paraId="29AD6F7C" w14:textId="4B1A5089" w:rsidR="00C439A3" w:rsidRDefault="0005322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FALK</w:t>
      </w:r>
    </w:p>
    <w:p w14:paraId="7D9AAD94" w14:textId="77777777" w:rsidR="00C439A3" w:rsidRDefault="00C439A3">
      <w:pPr>
        <w:suppressAutoHyphens/>
        <w:jc w:val="center"/>
        <w:rPr>
          <w:spacing w:val="-3"/>
        </w:rPr>
      </w:pPr>
      <w:r>
        <w:rPr>
          <w:spacing w:val="-3"/>
        </w:rPr>
        <w:t>- - - - - - - - - - - - - - - - - - - - -</w:t>
      </w:r>
    </w:p>
    <w:p w14:paraId="3201F62F" w14:textId="4B907953" w:rsidR="00C439A3" w:rsidRDefault="00C439A3">
      <w:pPr>
        <w:suppressAutoHyphens/>
        <w:jc w:val="center"/>
        <w:rPr>
          <w:b/>
          <w:spacing w:val="-3"/>
        </w:rPr>
      </w:pPr>
      <w:r>
        <w:rPr>
          <w:b/>
          <w:spacing w:val="-3"/>
        </w:rPr>
        <w:t>Between:</w:t>
      </w:r>
    </w:p>
    <w:p w14:paraId="104E46D0"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512"/>
      </w:tblGrid>
      <w:tr w:rsidR="00C439A3" w14:paraId="0810D4EE" w14:textId="77777777" w:rsidTr="00407049">
        <w:tc>
          <w:tcPr>
            <w:tcW w:w="1314" w:type="dxa"/>
          </w:tcPr>
          <w:p w14:paraId="25FF55F5" w14:textId="77777777" w:rsidR="00C439A3" w:rsidRDefault="00C439A3">
            <w:pPr>
              <w:suppressAutoHyphens/>
              <w:rPr>
                <w:b/>
                <w:spacing w:val="-3"/>
              </w:rPr>
            </w:pPr>
          </w:p>
        </w:tc>
        <w:tc>
          <w:tcPr>
            <w:tcW w:w="6210" w:type="dxa"/>
          </w:tcPr>
          <w:p w14:paraId="4F915AEA" w14:textId="1358999D" w:rsidR="00C439A3" w:rsidRDefault="00402256">
            <w:pPr>
              <w:suppressAutoHyphens/>
              <w:jc w:val="center"/>
              <w:rPr>
                <w:b/>
                <w:spacing w:val="-3"/>
              </w:rPr>
            </w:pPr>
            <w:r>
              <w:rPr>
                <w:b/>
                <w:spacing w:val="-3"/>
              </w:rPr>
              <w:t>REPUBLIC OF KOREA</w:t>
            </w:r>
          </w:p>
        </w:tc>
        <w:tc>
          <w:tcPr>
            <w:tcW w:w="1512" w:type="dxa"/>
          </w:tcPr>
          <w:p w14:paraId="11D10572" w14:textId="76D0CC2C" w:rsidR="00D014AE" w:rsidRDefault="0040704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Appellant/ </w:t>
            </w:r>
            <w:r w:rsidR="00D014AE">
              <w:t>Claimant</w:t>
            </w:r>
          </w:p>
          <w:p w14:paraId="1659A4B8" w14:textId="5EE8733A"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C439A3" w14:paraId="43F0F713" w14:textId="77777777" w:rsidTr="00407049">
        <w:tc>
          <w:tcPr>
            <w:tcW w:w="1314" w:type="dxa"/>
          </w:tcPr>
          <w:p w14:paraId="08C556C7" w14:textId="77777777" w:rsidR="00C439A3" w:rsidRDefault="00C439A3">
            <w:pPr>
              <w:suppressAutoHyphens/>
              <w:rPr>
                <w:b/>
                <w:spacing w:val="-3"/>
              </w:rPr>
            </w:pPr>
          </w:p>
        </w:tc>
        <w:tc>
          <w:tcPr>
            <w:tcW w:w="6210" w:type="dxa"/>
          </w:tcPr>
          <w:p w14:paraId="2AC1142B" w14:textId="52724F28" w:rsidR="00C439A3" w:rsidRDefault="00C439A3">
            <w:pPr>
              <w:tabs>
                <w:tab w:val="center" w:pos="3312"/>
              </w:tabs>
              <w:suppressAutoHyphens/>
              <w:jc w:val="center"/>
              <w:rPr>
                <w:b/>
                <w:spacing w:val="-3"/>
              </w:rPr>
            </w:pPr>
            <w:r>
              <w:rPr>
                <w:b/>
                <w:spacing w:val="-3"/>
              </w:rPr>
              <w:t xml:space="preserve">- and </w:t>
            </w:r>
            <w:r w:rsidR="00121423">
              <w:rPr>
                <w:b/>
                <w:spacing w:val="-3"/>
              </w:rPr>
              <w:t>–</w:t>
            </w:r>
          </w:p>
          <w:p w14:paraId="159EB922" w14:textId="77777777" w:rsidR="00121423" w:rsidRDefault="00121423">
            <w:pPr>
              <w:tabs>
                <w:tab w:val="center" w:pos="3312"/>
              </w:tabs>
              <w:suppressAutoHyphens/>
              <w:jc w:val="center"/>
              <w:rPr>
                <w:b/>
                <w:spacing w:val="-3"/>
              </w:rPr>
            </w:pPr>
          </w:p>
        </w:tc>
        <w:tc>
          <w:tcPr>
            <w:tcW w:w="1512" w:type="dxa"/>
          </w:tcPr>
          <w:p w14:paraId="0531009B" w14:textId="77777777" w:rsidR="00C439A3" w:rsidRDefault="00C439A3">
            <w:pPr>
              <w:suppressAutoHyphens/>
              <w:jc w:val="right"/>
              <w:rPr>
                <w:b/>
                <w:spacing w:val="-3"/>
              </w:rPr>
            </w:pPr>
          </w:p>
        </w:tc>
      </w:tr>
      <w:tr w:rsidR="00C439A3" w14:paraId="333AA08D" w14:textId="77777777" w:rsidTr="00407049">
        <w:tc>
          <w:tcPr>
            <w:tcW w:w="1314" w:type="dxa"/>
          </w:tcPr>
          <w:p w14:paraId="0E4379A9" w14:textId="77777777" w:rsidR="00C439A3" w:rsidRDefault="00C439A3">
            <w:pPr>
              <w:suppressAutoHyphens/>
              <w:rPr>
                <w:b/>
                <w:spacing w:val="-3"/>
              </w:rPr>
            </w:pPr>
          </w:p>
        </w:tc>
        <w:tc>
          <w:tcPr>
            <w:tcW w:w="6210" w:type="dxa"/>
          </w:tcPr>
          <w:p w14:paraId="4D9EEF22" w14:textId="32B888BF" w:rsidR="00C439A3" w:rsidRDefault="00402256">
            <w:pPr>
              <w:tabs>
                <w:tab w:val="center" w:pos="3312"/>
              </w:tabs>
              <w:suppressAutoHyphens/>
              <w:jc w:val="center"/>
              <w:rPr>
                <w:b/>
                <w:spacing w:val="-3"/>
              </w:rPr>
            </w:pPr>
            <w:r>
              <w:rPr>
                <w:b/>
                <w:spacing w:val="-3"/>
              </w:rPr>
              <w:t>ELLIOTT ASSOCIATES</w:t>
            </w:r>
            <w:r w:rsidR="000F54E5">
              <w:rPr>
                <w:b/>
                <w:spacing w:val="-3"/>
              </w:rPr>
              <w:t>,</w:t>
            </w:r>
            <w:r>
              <w:rPr>
                <w:b/>
                <w:spacing w:val="-3"/>
              </w:rPr>
              <w:t xml:space="preserve"> L</w:t>
            </w:r>
            <w:r w:rsidR="000F54E5">
              <w:rPr>
                <w:b/>
                <w:spacing w:val="-3"/>
              </w:rPr>
              <w:t>.</w:t>
            </w:r>
            <w:r>
              <w:rPr>
                <w:b/>
                <w:spacing w:val="-3"/>
              </w:rPr>
              <w:t>P</w:t>
            </w:r>
            <w:r w:rsidR="000F54E5">
              <w:rPr>
                <w:b/>
                <w:spacing w:val="-3"/>
              </w:rPr>
              <w:t>.</w:t>
            </w:r>
          </w:p>
        </w:tc>
        <w:tc>
          <w:tcPr>
            <w:tcW w:w="1512" w:type="dxa"/>
          </w:tcPr>
          <w:p w14:paraId="6548C1AB" w14:textId="4FE6E0BF" w:rsidR="00C439A3" w:rsidRDefault="0040704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Respondent/ </w:t>
            </w:r>
            <w:r w:rsidR="00D014AE">
              <w:t>Defendant</w:t>
            </w:r>
          </w:p>
        </w:tc>
      </w:tr>
    </w:tbl>
    <w:p w14:paraId="372C786F" w14:textId="77777777" w:rsidR="00C439A3" w:rsidRDefault="00C439A3">
      <w:pPr>
        <w:suppressAutoHyphens/>
        <w:jc w:val="center"/>
        <w:rPr>
          <w:spacing w:val="-3"/>
        </w:rPr>
      </w:pPr>
      <w:r>
        <w:rPr>
          <w:spacing w:val="-3"/>
        </w:rPr>
        <w:t>- - - - - - - - - - - - - - - - - - - - -</w:t>
      </w:r>
    </w:p>
    <w:p w14:paraId="401516A3" w14:textId="77777777" w:rsidR="00C439A3" w:rsidRDefault="00C439A3">
      <w:pPr>
        <w:suppressAutoHyphens/>
        <w:jc w:val="center"/>
        <w:rPr>
          <w:spacing w:val="-3"/>
        </w:rPr>
      </w:pPr>
    </w:p>
    <w:p w14:paraId="04123CAA" w14:textId="04BAB04A" w:rsidR="00C439A3" w:rsidRDefault="00965839">
      <w:pPr>
        <w:suppressAutoHyphens/>
        <w:jc w:val="center"/>
        <w:rPr>
          <w:bCs/>
          <w:spacing w:val="-3"/>
        </w:rPr>
      </w:pPr>
      <w:r>
        <w:rPr>
          <w:b/>
          <w:spacing w:val="-3"/>
        </w:rPr>
        <w:t>Samuel Wordsworth KC, Peter Webster</w:t>
      </w:r>
      <w:r w:rsidR="00D711C8">
        <w:rPr>
          <w:b/>
          <w:spacing w:val="-3"/>
        </w:rPr>
        <w:t xml:space="preserve"> </w:t>
      </w:r>
      <w:r w:rsidR="00D711C8" w:rsidRPr="00D711C8">
        <w:rPr>
          <w:bCs/>
          <w:spacing w:val="-3"/>
        </w:rPr>
        <w:t>and</w:t>
      </w:r>
      <w:r>
        <w:rPr>
          <w:b/>
          <w:spacing w:val="-3"/>
        </w:rPr>
        <w:t xml:space="preserve"> Richard Hoyle</w:t>
      </w:r>
      <w:r w:rsidR="00C439A3">
        <w:rPr>
          <w:bCs/>
          <w:spacing w:val="-3"/>
        </w:rPr>
        <w:t xml:space="preserve"> (instructed by </w:t>
      </w:r>
      <w:r w:rsidR="00B91827">
        <w:rPr>
          <w:b/>
          <w:spacing w:val="-3"/>
        </w:rPr>
        <w:t>Arnold &amp; Porter Kaye Scholer (UK) LLP</w:t>
      </w:r>
      <w:r w:rsidR="00C439A3">
        <w:rPr>
          <w:bCs/>
          <w:spacing w:val="-3"/>
        </w:rPr>
        <w:t xml:space="preserve">) for the </w:t>
      </w:r>
      <w:r w:rsidR="00493AFF">
        <w:rPr>
          <w:b/>
          <w:spacing w:val="-3"/>
        </w:rPr>
        <w:t>Appellant/Claimant</w:t>
      </w:r>
    </w:p>
    <w:p w14:paraId="28E93F6C" w14:textId="77777777" w:rsidR="00C606C3" w:rsidRDefault="00A9721F">
      <w:pPr>
        <w:suppressAutoHyphens/>
        <w:jc w:val="center"/>
        <w:rPr>
          <w:b/>
          <w:spacing w:val="-3"/>
        </w:rPr>
      </w:pPr>
      <w:r>
        <w:rPr>
          <w:b/>
          <w:spacing w:val="-3"/>
        </w:rPr>
        <w:t>Constantine Partasides KC, Georgios Petrochilos KC, Andrew Stafford KC</w:t>
      </w:r>
      <w:r w:rsidR="00D711C8">
        <w:rPr>
          <w:b/>
          <w:spacing w:val="-3"/>
        </w:rPr>
        <w:t xml:space="preserve"> </w:t>
      </w:r>
      <w:r w:rsidR="00D711C8" w:rsidRPr="00D711C8">
        <w:rPr>
          <w:bCs/>
          <w:spacing w:val="-3"/>
        </w:rPr>
        <w:t>and</w:t>
      </w:r>
      <w:r>
        <w:rPr>
          <w:b/>
          <w:spacing w:val="-3"/>
        </w:rPr>
        <w:t xml:space="preserve"> </w:t>
      </w:r>
    </w:p>
    <w:p w14:paraId="4AAE0A3E" w14:textId="286E4211" w:rsidR="00C439A3" w:rsidRDefault="00A9721F">
      <w:pPr>
        <w:suppressAutoHyphens/>
        <w:jc w:val="center"/>
        <w:rPr>
          <w:bCs/>
          <w:spacing w:val="-3"/>
        </w:rPr>
      </w:pPr>
      <w:r>
        <w:rPr>
          <w:b/>
          <w:spacing w:val="-3"/>
        </w:rPr>
        <w:t>Richard Clarke</w:t>
      </w:r>
      <w:r w:rsidR="00C439A3">
        <w:rPr>
          <w:b/>
          <w:spacing w:val="-3"/>
        </w:rPr>
        <w:t xml:space="preserve"> </w:t>
      </w:r>
      <w:r w:rsidR="00C439A3">
        <w:rPr>
          <w:bCs/>
          <w:spacing w:val="-3"/>
        </w:rPr>
        <w:t>(instructed by</w:t>
      </w:r>
      <w:r w:rsidR="00C439A3">
        <w:rPr>
          <w:b/>
          <w:spacing w:val="-3"/>
        </w:rPr>
        <w:t xml:space="preserve"> </w:t>
      </w:r>
      <w:r w:rsidR="00E20D9D">
        <w:rPr>
          <w:b/>
          <w:spacing w:val="-3"/>
        </w:rPr>
        <w:t>Kobre &amp; Kim (UK) LLP</w:t>
      </w:r>
      <w:r w:rsidR="00C439A3">
        <w:rPr>
          <w:bCs/>
          <w:spacing w:val="-3"/>
        </w:rPr>
        <w:t xml:space="preserve">) for the </w:t>
      </w:r>
      <w:r w:rsidR="00407049">
        <w:rPr>
          <w:b/>
          <w:spacing w:val="-3"/>
        </w:rPr>
        <w:t>Respondent/Defendant</w:t>
      </w:r>
    </w:p>
    <w:p w14:paraId="005D87F4" w14:textId="77777777" w:rsidR="0044782F" w:rsidRDefault="0044782F">
      <w:pPr>
        <w:suppressAutoHyphens/>
        <w:jc w:val="center"/>
        <w:rPr>
          <w:b/>
          <w:spacing w:val="-3"/>
        </w:rPr>
      </w:pPr>
    </w:p>
    <w:p w14:paraId="51A26E2A" w14:textId="4B1142CA" w:rsidR="00C439A3" w:rsidRDefault="00C439A3">
      <w:pPr>
        <w:suppressAutoHyphens/>
        <w:jc w:val="center"/>
        <w:rPr>
          <w:spacing w:val="-3"/>
        </w:rPr>
      </w:pPr>
      <w:r>
        <w:rPr>
          <w:spacing w:val="-3"/>
        </w:rPr>
        <w:t xml:space="preserve">Hearing dates: </w:t>
      </w:r>
      <w:r w:rsidR="00053223">
        <w:rPr>
          <w:spacing w:val="-3"/>
        </w:rPr>
        <w:t>12 and 13 March 2025</w:t>
      </w:r>
    </w:p>
    <w:p w14:paraId="1B92FE61" w14:textId="6237CFCC" w:rsidR="008F2177" w:rsidRDefault="008F2177">
      <w:pPr>
        <w:suppressAutoHyphens/>
        <w:jc w:val="center"/>
        <w:rPr>
          <w:spacing w:val="-3"/>
        </w:rPr>
      </w:pPr>
      <w:r>
        <w:rPr>
          <w:spacing w:val="-3"/>
        </w:rPr>
        <w:t xml:space="preserve">Further written submissions 28 March 2025 </w:t>
      </w:r>
    </w:p>
    <w:p w14:paraId="5F6917CC" w14:textId="77777777" w:rsidR="00C439A3" w:rsidRDefault="00C439A3">
      <w:pPr>
        <w:suppressAutoHyphens/>
        <w:jc w:val="center"/>
        <w:rPr>
          <w:spacing w:val="-3"/>
        </w:rPr>
      </w:pPr>
      <w:r>
        <w:rPr>
          <w:spacing w:val="-3"/>
        </w:rPr>
        <w:t>- - - - - - - - - - - - - - - - - - - - -</w:t>
      </w:r>
    </w:p>
    <w:p w14:paraId="5DC2E571" w14:textId="60758950" w:rsidR="00C439A3" w:rsidRDefault="00130DB4" w:rsidP="00130DB4">
      <w:pPr>
        <w:pStyle w:val="CoverDesc"/>
      </w:pPr>
      <w:r>
        <w:t>Approved Judgment</w:t>
      </w:r>
    </w:p>
    <w:p w14:paraId="1F6462C4" w14:textId="77777777" w:rsidR="00130DB4" w:rsidRDefault="00130DB4" w:rsidP="00130DB4">
      <w:pPr>
        <w:jc w:val="center"/>
      </w:pPr>
      <w:r>
        <w:t xml:space="preserve"> </w:t>
      </w:r>
    </w:p>
    <w:p w14:paraId="473AC956" w14:textId="77777777" w:rsidR="006468FB" w:rsidRDefault="00130DB4" w:rsidP="00130DB4">
      <w:pPr>
        <w:jc w:val="center"/>
        <w:rPr>
          <w:sz w:val="20"/>
          <w:szCs w:val="20"/>
        </w:rPr>
      </w:pPr>
      <w:r w:rsidRPr="00130DB4">
        <w:rPr>
          <w:sz w:val="20"/>
          <w:szCs w:val="20"/>
        </w:rPr>
        <w:t xml:space="preserve">This judgment was handed down remotely at 10.30am on Thursday 17 July 2025 by circulation to the parties </w:t>
      </w:r>
    </w:p>
    <w:p w14:paraId="1829A22E" w14:textId="4135C7B2" w:rsidR="00130DB4" w:rsidRPr="00130DB4" w:rsidRDefault="00130DB4" w:rsidP="00130DB4">
      <w:pPr>
        <w:jc w:val="center"/>
        <w:rPr>
          <w:sz w:val="20"/>
          <w:szCs w:val="20"/>
        </w:rPr>
      </w:pPr>
      <w:r w:rsidRPr="00130DB4">
        <w:rPr>
          <w:sz w:val="20"/>
          <w:szCs w:val="20"/>
        </w:rPr>
        <w:t>or their representatives by e-mail and by release to the National Archives.</w:t>
      </w:r>
    </w:p>
    <w:p w14:paraId="7FB9FD19" w14:textId="77777777" w:rsidR="00130DB4" w:rsidRDefault="00130DB4" w:rsidP="00130DB4">
      <w:pPr>
        <w:jc w:val="center"/>
      </w:pPr>
      <w:r>
        <w:t>.............................</w:t>
      </w:r>
    </w:p>
    <w:p w14:paraId="5C9A7C43" w14:textId="598FE110" w:rsidR="00130DB4" w:rsidRPr="00130DB4" w:rsidRDefault="00130DB4" w:rsidP="00130DB4">
      <w:pPr>
        <w:jc w:val="center"/>
      </w:pPr>
    </w:p>
    <w:p w14:paraId="18E91551" w14:textId="77777777" w:rsidR="00C439A3" w:rsidRDefault="00C439A3">
      <w:pPr>
        <w:pStyle w:val="CoverDesc"/>
        <w:rPr>
          <w:sz w:val="24"/>
        </w:rPr>
      </w:pPr>
    </w:p>
    <w:p w14:paraId="730578DF" w14:textId="77777777" w:rsidR="00F50AFF" w:rsidRDefault="00F50AFF">
      <w:pPr>
        <w:sectPr w:rsidR="00F50AFF">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bookmarkStart w:id="0" w:name="bkCACaveat3"/>
      <w:bookmarkEnd w:id="0"/>
    </w:p>
    <w:p w14:paraId="33FAE744" w14:textId="5ED7DAC3" w:rsidR="00C439A3" w:rsidRDefault="00053223">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Lord Justice Phillips</w:t>
      </w:r>
      <w:r w:rsidR="00C439A3">
        <w:rPr>
          <w:b/>
        </w:rPr>
        <w:t>:</w:t>
      </w:r>
      <w:r w:rsidR="00C439A3">
        <w:t xml:space="preserve"> </w:t>
      </w:r>
    </w:p>
    <w:p w14:paraId="77270457" w14:textId="44A22F27" w:rsidR="005079CD" w:rsidRDefault="005079CD" w:rsidP="00130DB4">
      <w:pPr>
        <w:pStyle w:val="ParaLevel1"/>
      </w:pPr>
      <w:r>
        <w:t>Th</w:t>
      </w:r>
      <w:r w:rsidR="002017BA">
        <w:t>e</w:t>
      </w:r>
      <w:r>
        <w:t xml:space="preserve"> </w:t>
      </w:r>
      <w:r w:rsidR="00157108">
        <w:t xml:space="preserve">issue on this appeal is whether </w:t>
      </w:r>
      <w:r w:rsidR="00A334F0">
        <w:t xml:space="preserve">an arbitral tribunal had </w:t>
      </w:r>
      <w:r w:rsidR="00150C26">
        <w:t xml:space="preserve">substantive </w:t>
      </w:r>
      <w:r w:rsidR="00A334F0">
        <w:t xml:space="preserve">jurisdiction to determine whether </w:t>
      </w:r>
      <w:r w:rsidR="00003FD7">
        <w:t xml:space="preserve">a claim by </w:t>
      </w:r>
      <w:r w:rsidR="003077E3">
        <w:t>an investor</w:t>
      </w:r>
      <w:r w:rsidR="002A5447">
        <w:t xml:space="preserve"> fell within the </w:t>
      </w:r>
      <w:r w:rsidR="007F182C">
        <w:t xml:space="preserve">scope of the protections afforded </w:t>
      </w:r>
      <w:r w:rsidR="00A3193A">
        <w:t xml:space="preserve">to </w:t>
      </w:r>
      <w:r w:rsidR="002A79C1">
        <w:t>investor</w:t>
      </w:r>
      <w:r w:rsidR="00B57AE2">
        <w:t xml:space="preserve">s </w:t>
      </w:r>
      <w:r w:rsidR="002A79C1">
        <w:t xml:space="preserve">under a free trade agreement between </w:t>
      </w:r>
      <w:r w:rsidR="00832A57">
        <w:t>S</w:t>
      </w:r>
      <w:r w:rsidR="002A79C1">
        <w:t>tates</w:t>
      </w:r>
      <w:r w:rsidR="00667275">
        <w:t xml:space="preserve"> (including the right to </w:t>
      </w:r>
      <w:r w:rsidR="004D6616">
        <w:t xml:space="preserve">bring claims by way of </w:t>
      </w:r>
      <w:r w:rsidR="005906BA">
        <w:t>arbitration)</w:t>
      </w:r>
      <w:r w:rsidR="00990DB4">
        <w:t xml:space="preserve">, or whether the jurisdiction of the tribunal </w:t>
      </w:r>
      <w:r w:rsidR="00587AB2">
        <w:t xml:space="preserve">is </w:t>
      </w:r>
      <w:r w:rsidR="00CF120E">
        <w:t xml:space="preserve">amenable to </w:t>
      </w:r>
      <w:r w:rsidR="00990DB4">
        <w:t xml:space="preserve">challenge </w:t>
      </w:r>
      <w:r w:rsidR="00BA46A1">
        <w:t xml:space="preserve">under section 67 of the Arbitration Act 1996 </w:t>
      </w:r>
      <w:r w:rsidR="00522C96">
        <w:t xml:space="preserve">(“the </w:t>
      </w:r>
      <w:r w:rsidR="00E45FDA">
        <w:t xml:space="preserve">1996 </w:t>
      </w:r>
      <w:r w:rsidR="00522C96">
        <w:t>Act</w:t>
      </w:r>
      <w:r w:rsidR="00E45FDA">
        <w:t>”</w:t>
      </w:r>
      <w:r w:rsidR="00522C96">
        <w:t>)</w:t>
      </w:r>
      <w:r w:rsidR="00E45FDA">
        <w:t xml:space="preserve"> </w:t>
      </w:r>
      <w:r w:rsidR="00BA46A1">
        <w:t>on the grounds that, contrary to the tribunal’s de</w:t>
      </w:r>
      <w:r w:rsidR="00E90B2E">
        <w:t>termination</w:t>
      </w:r>
      <w:r w:rsidR="00BA46A1">
        <w:t xml:space="preserve">, the </w:t>
      </w:r>
      <w:r w:rsidR="00107D9B">
        <w:t xml:space="preserve">subject matter </w:t>
      </w:r>
      <w:r w:rsidR="003077E3">
        <w:t xml:space="preserve">fell outside that scope. </w:t>
      </w:r>
      <w:r w:rsidR="002A79C1">
        <w:t xml:space="preserve"> </w:t>
      </w:r>
      <w:r w:rsidR="003F44D5">
        <w:t xml:space="preserve"> </w:t>
      </w:r>
    </w:p>
    <w:p w14:paraId="03C4F215" w14:textId="2E59C311" w:rsidR="000A6F7B" w:rsidRPr="00F267E6" w:rsidRDefault="000A6F7B" w:rsidP="00130DB4">
      <w:pPr>
        <w:pStyle w:val="ParaLevel1"/>
        <w:numPr>
          <w:ilvl w:val="0"/>
          <w:numId w:val="0"/>
        </w:numPr>
        <w:rPr>
          <w:b/>
          <w:bCs/>
        </w:rPr>
      </w:pPr>
      <w:r w:rsidRPr="00F267E6">
        <w:rPr>
          <w:b/>
          <w:bCs/>
        </w:rPr>
        <w:t>The essential facts</w:t>
      </w:r>
    </w:p>
    <w:p w14:paraId="11C7124B" w14:textId="47B4BB39" w:rsidR="00053223" w:rsidRDefault="00246CC3" w:rsidP="00130DB4">
      <w:pPr>
        <w:pStyle w:val="ParaLevel1"/>
      </w:pPr>
      <w:r>
        <w:t xml:space="preserve">Chapter 11 of </w:t>
      </w:r>
      <w:r w:rsidR="000A3F18">
        <w:t xml:space="preserve">the </w:t>
      </w:r>
      <w:r w:rsidR="00CB6FE3">
        <w:t xml:space="preserve">free trade agreement between the </w:t>
      </w:r>
      <w:r w:rsidR="00160FE8">
        <w:t>appellant (“</w:t>
      </w:r>
      <w:r w:rsidR="00CB6FE3">
        <w:t>Korea</w:t>
      </w:r>
      <w:r w:rsidR="00160FE8">
        <w:t>”)</w:t>
      </w:r>
      <w:r w:rsidR="00CB6FE3">
        <w:t xml:space="preserve"> and the United States of America </w:t>
      </w:r>
      <w:r w:rsidR="00F13305">
        <w:t xml:space="preserve">(“the USA”) </w:t>
      </w:r>
      <w:r w:rsidR="00E20236">
        <w:t>signed on</w:t>
      </w:r>
      <w:r w:rsidR="00936275">
        <w:t xml:space="preserve"> 30 June 2007</w:t>
      </w:r>
      <w:r w:rsidR="00980522">
        <w:t xml:space="preserve"> </w:t>
      </w:r>
      <w:r w:rsidR="00936275">
        <w:t>(</w:t>
      </w:r>
      <w:r w:rsidR="00115A94">
        <w:t xml:space="preserve">“the KORUS FTA” or </w:t>
      </w:r>
      <w:r w:rsidR="00936275">
        <w:t xml:space="preserve">“the </w:t>
      </w:r>
      <w:r w:rsidR="00BD7F1B">
        <w:t xml:space="preserve">Treaty”) </w:t>
      </w:r>
      <w:r w:rsidR="002843D6">
        <w:t>provides</w:t>
      </w:r>
      <w:r w:rsidR="00A77E30">
        <w:t xml:space="preserve"> </w:t>
      </w:r>
      <w:r w:rsidR="006F0D5C">
        <w:t xml:space="preserve">protections for </w:t>
      </w:r>
      <w:r w:rsidR="00E60048">
        <w:t>nationals</w:t>
      </w:r>
      <w:r w:rsidR="00A77E30">
        <w:t xml:space="preserve"> of one of those </w:t>
      </w:r>
      <w:r w:rsidR="00A43FF4">
        <w:t>S</w:t>
      </w:r>
      <w:r w:rsidR="00A77E30">
        <w:t>tate</w:t>
      </w:r>
      <w:r w:rsidR="0050057F">
        <w:t>s</w:t>
      </w:r>
      <w:r w:rsidR="00A77E30">
        <w:t xml:space="preserve"> </w:t>
      </w:r>
      <w:r w:rsidR="00867C30">
        <w:t>when investing in the other</w:t>
      </w:r>
      <w:r w:rsidR="00CC405B">
        <w:t xml:space="preserve">, </w:t>
      </w:r>
      <w:r w:rsidR="006D51F9">
        <w:t xml:space="preserve">the Chapter </w:t>
      </w:r>
      <w:r w:rsidR="00201320">
        <w:t>amounting in effect to a bilateral investment treaty (“BIT”)</w:t>
      </w:r>
      <w:r w:rsidR="00867C30">
        <w:t xml:space="preserve">. </w:t>
      </w:r>
      <w:r w:rsidR="009541E1">
        <w:t>Article 11.1</w:t>
      </w:r>
      <w:r w:rsidR="00A25D8F">
        <w:t>(1)</w:t>
      </w:r>
      <w:r w:rsidR="009541E1">
        <w:t xml:space="preserve"> provides that t</w:t>
      </w:r>
      <w:r w:rsidR="001B60F2">
        <w:t xml:space="preserve">he protections, including </w:t>
      </w:r>
      <w:r w:rsidR="006B7AC1">
        <w:t>N</w:t>
      </w:r>
      <w:r w:rsidR="00AE67FC">
        <w:t xml:space="preserve">ational </w:t>
      </w:r>
      <w:r w:rsidR="006B7AC1">
        <w:t>T</w:t>
      </w:r>
      <w:r w:rsidR="00AE67FC">
        <w:t xml:space="preserve">reatment </w:t>
      </w:r>
      <w:r w:rsidR="009929CD">
        <w:t>s</w:t>
      </w:r>
      <w:r w:rsidR="0086450B">
        <w:t>tan</w:t>
      </w:r>
      <w:r w:rsidR="00AA2624">
        <w:t>d</w:t>
      </w:r>
      <w:r w:rsidR="009F1B8D">
        <w:t>a</w:t>
      </w:r>
      <w:r w:rsidR="00AA2624">
        <w:t>r</w:t>
      </w:r>
      <w:r w:rsidR="0086450B">
        <w:t>d</w:t>
      </w:r>
      <w:r w:rsidR="005D1330">
        <w:t>s</w:t>
      </w:r>
      <w:r w:rsidR="0086450B">
        <w:t xml:space="preserve"> and </w:t>
      </w:r>
      <w:r w:rsidR="006B7AC1">
        <w:t>M</w:t>
      </w:r>
      <w:r w:rsidR="003D7CB3">
        <w:t xml:space="preserve">inimum </w:t>
      </w:r>
      <w:r w:rsidR="006B7AC1">
        <w:t>S</w:t>
      </w:r>
      <w:r w:rsidR="003D7CB3">
        <w:t xml:space="preserve">tandards of </w:t>
      </w:r>
      <w:r w:rsidR="006B7AC1">
        <w:t>T</w:t>
      </w:r>
      <w:r w:rsidR="003D7CB3">
        <w:t xml:space="preserve">reatment </w:t>
      </w:r>
      <w:r w:rsidR="00A80302">
        <w:t xml:space="preserve">as </w:t>
      </w:r>
      <w:r w:rsidR="003D7CB3">
        <w:t>specified in Article</w:t>
      </w:r>
      <w:r w:rsidR="0086450B">
        <w:t>s</w:t>
      </w:r>
      <w:r w:rsidR="003D7CB3">
        <w:t xml:space="preserve"> </w:t>
      </w:r>
      <w:r w:rsidR="0086450B">
        <w:t xml:space="preserve">11.3 and </w:t>
      </w:r>
      <w:r w:rsidR="003D7CB3">
        <w:t>11.5</w:t>
      </w:r>
      <w:r w:rsidR="0086450B">
        <w:t xml:space="preserve"> respectively</w:t>
      </w:r>
      <w:r w:rsidR="003D7CB3">
        <w:t xml:space="preserve">, relate to </w:t>
      </w:r>
      <w:r w:rsidR="0050057F">
        <w:t>“</w:t>
      </w:r>
      <w:r w:rsidR="003D7CB3">
        <w:t xml:space="preserve">measures </w:t>
      </w:r>
      <w:r w:rsidR="0050057F">
        <w:t>adopted or maintained</w:t>
      </w:r>
      <w:r w:rsidR="00131ED1">
        <w:t>”</w:t>
      </w:r>
      <w:r w:rsidR="0050057F">
        <w:t xml:space="preserve"> by the </w:t>
      </w:r>
      <w:r w:rsidR="00A43FF4">
        <w:t>S</w:t>
      </w:r>
      <w:r w:rsidR="0050057F">
        <w:t>tate</w:t>
      </w:r>
      <w:r w:rsidR="00AA4107">
        <w:t xml:space="preserve"> </w:t>
      </w:r>
      <w:r w:rsidR="00454584">
        <w:t>“</w:t>
      </w:r>
      <w:r w:rsidR="00261E36">
        <w:t>relating to</w:t>
      </w:r>
      <w:r w:rsidR="00454584">
        <w:t>”</w:t>
      </w:r>
      <w:r w:rsidR="00261E36">
        <w:t xml:space="preserve"> investors </w:t>
      </w:r>
      <w:r w:rsidR="00DE7E88">
        <w:t xml:space="preserve">of the other </w:t>
      </w:r>
      <w:r w:rsidR="00A43FF4">
        <w:t>S</w:t>
      </w:r>
      <w:r w:rsidR="00DE7E88">
        <w:t xml:space="preserve">tate or their investments (defined as “covered investments”). </w:t>
      </w:r>
    </w:p>
    <w:p w14:paraId="7848870E" w14:textId="3BC3BEDA" w:rsidR="00E638C7" w:rsidRDefault="001E443D" w:rsidP="00130DB4">
      <w:pPr>
        <w:pStyle w:val="ParaLevel1"/>
      </w:pPr>
      <w:r>
        <w:t>Article</w:t>
      </w:r>
      <w:r w:rsidR="00D709B1">
        <w:t xml:space="preserve"> 11.16 </w:t>
      </w:r>
      <w:r w:rsidR="001229BE">
        <w:t xml:space="preserve">of the </w:t>
      </w:r>
      <w:r w:rsidR="00BD7F1B">
        <w:t>Treaty</w:t>
      </w:r>
      <w:r w:rsidR="001229BE">
        <w:t xml:space="preserve"> </w:t>
      </w:r>
      <w:r w:rsidR="00D709B1">
        <w:t>provides t</w:t>
      </w:r>
      <w:r w:rsidR="001842D8">
        <w:t xml:space="preserve">hat an investor </w:t>
      </w:r>
      <w:r w:rsidR="00084902">
        <w:t xml:space="preserve">of one </w:t>
      </w:r>
      <w:r w:rsidR="00A43FF4">
        <w:t>S</w:t>
      </w:r>
      <w:r w:rsidR="00084902">
        <w:t xml:space="preserve">tate </w:t>
      </w:r>
      <w:r w:rsidR="00C47ED2">
        <w:t xml:space="preserve">may submit </w:t>
      </w:r>
      <w:r w:rsidR="00413A70">
        <w:t xml:space="preserve">to arbitration </w:t>
      </w:r>
      <w:r w:rsidR="00C47ED2">
        <w:t xml:space="preserve">claims </w:t>
      </w:r>
      <w:r w:rsidR="0059289C">
        <w:t xml:space="preserve">that the </w:t>
      </w:r>
      <w:r w:rsidR="00270630">
        <w:t xml:space="preserve">other </w:t>
      </w:r>
      <w:r w:rsidR="00A43FF4">
        <w:t>S</w:t>
      </w:r>
      <w:r w:rsidR="0059289C">
        <w:t xml:space="preserve">tate </w:t>
      </w:r>
      <w:r w:rsidR="00270630">
        <w:t xml:space="preserve">has breached one </w:t>
      </w:r>
      <w:r w:rsidR="00E638C7">
        <w:t xml:space="preserve">of the </w:t>
      </w:r>
      <w:r w:rsidR="00270630">
        <w:t>protection obligations</w:t>
      </w:r>
      <w:r w:rsidR="00E638C7">
        <w:t>, by reason of which the investor has suffered damage</w:t>
      </w:r>
      <w:r w:rsidR="006E3CAA">
        <w:t>.</w:t>
      </w:r>
      <w:r w:rsidR="00724704">
        <w:t xml:space="preserve"> </w:t>
      </w:r>
      <w:r w:rsidR="006E3CAA">
        <w:t>By A</w:t>
      </w:r>
      <w:r w:rsidR="00724704">
        <w:t>rticle 11.17 th</w:t>
      </w:r>
      <w:r w:rsidR="00047B4F">
        <w:t>at</w:t>
      </w:r>
      <w:r w:rsidR="00724704">
        <w:t xml:space="preserve"> </w:t>
      </w:r>
      <w:r w:rsidR="00047B4F">
        <w:t xml:space="preserve">other </w:t>
      </w:r>
      <w:r w:rsidR="00EF5700">
        <w:t>S</w:t>
      </w:r>
      <w:r w:rsidR="00047B4F">
        <w:t xml:space="preserve">tate consents to </w:t>
      </w:r>
      <w:r w:rsidR="008770ED">
        <w:t xml:space="preserve">the submission of such a claim to arbitration </w:t>
      </w:r>
      <w:r w:rsidR="001F76EF">
        <w:t xml:space="preserve">in accordance with the </w:t>
      </w:r>
      <w:r w:rsidR="00BD7F1B">
        <w:t>T</w:t>
      </w:r>
      <w:r w:rsidR="00067255">
        <w:t>reaty</w:t>
      </w:r>
      <w:r w:rsidR="008770ED">
        <w:t xml:space="preserve">. </w:t>
      </w:r>
      <w:r w:rsidR="00E638C7">
        <w:t xml:space="preserve"> </w:t>
      </w:r>
    </w:p>
    <w:p w14:paraId="42A415E4" w14:textId="1D8D10A1" w:rsidR="00F54517" w:rsidRDefault="00B51370" w:rsidP="00130DB4">
      <w:pPr>
        <w:pStyle w:val="ParaLevel1"/>
      </w:pPr>
      <w:r>
        <w:t xml:space="preserve">In April 2018 </w:t>
      </w:r>
      <w:r w:rsidR="005E046B">
        <w:t>the respondent (“Elliott”)</w:t>
      </w:r>
      <w:r w:rsidR="00112854">
        <w:t>, a US</w:t>
      </w:r>
      <w:r w:rsidR="00F13305">
        <w:t>A</w:t>
      </w:r>
      <w:r w:rsidR="00112854">
        <w:t xml:space="preserve"> investment fund,</w:t>
      </w:r>
      <w:r w:rsidR="005E046B">
        <w:t xml:space="preserve"> </w:t>
      </w:r>
      <w:r w:rsidR="003064D7">
        <w:t>purported</w:t>
      </w:r>
      <w:r w:rsidR="007249A9">
        <w:t xml:space="preserve"> t</w:t>
      </w:r>
      <w:r w:rsidR="006D75B3">
        <w:t xml:space="preserve">o </w:t>
      </w:r>
      <w:r w:rsidR="00B865CA">
        <w:t xml:space="preserve">commence an </w:t>
      </w:r>
      <w:r w:rsidR="00824451">
        <w:t>UNC</w:t>
      </w:r>
      <w:r w:rsidR="00685A38">
        <w:t>I</w:t>
      </w:r>
      <w:r w:rsidR="00824451">
        <w:t xml:space="preserve">TRAL </w:t>
      </w:r>
      <w:r w:rsidR="00B865CA">
        <w:t>arbitration against Korea</w:t>
      </w:r>
      <w:r w:rsidR="00EF618B">
        <w:t xml:space="preserve"> pursuant to the above provisions</w:t>
      </w:r>
      <w:r w:rsidR="00701183">
        <w:t>. The claim</w:t>
      </w:r>
      <w:r w:rsidR="002B0D90">
        <w:t xml:space="preserve"> was</w:t>
      </w:r>
      <w:r w:rsidR="001655CF">
        <w:t>, in outline,</w:t>
      </w:r>
      <w:r w:rsidR="00701183">
        <w:t xml:space="preserve"> </w:t>
      </w:r>
      <w:r w:rsidR="0061332D">
        <w:t>that</w:t>
      </w:r>
      <w:r w:rsidR="00FE63FF">
        <w:t xml:space="preserve"> </w:t>
      </w:r>
      <w:r w:rsidR="0052389A">
        <w:t xml:space="preserve">the </w:t>
      </w:r>
      <w:r w:rsidR="00F3773E">
        <w:t xml:space="preserve">office of the President of Korea </w:t>
      </w:r>
      <w:r w:rsidR="000E75B6">
        <w:t>(</w:t>
      </w:r>
      <w:r w:rsidR="008B3683">
        <w:t xml:space="preserve">referred to as “the Blue House”) </w:t>
      </w:r>
      <w:r w:rsidR="00F3773E">
        <w:t xml:space="preserve">and the </w:t>
      </w:r>
      <w:r w:rsidR="008B3683">
        <w:t xml:space="preserve">Korean </w:t>
      </w:r>
      <w:r w:rsidR="00F3773E">
        <w:t xml:space="preserve">Ministry of </w:t>
      </w:r>
      <w:r w:rsidR="00343969">
        <w:t>H</w:t>
      </w:r>
      <w:r w:rsidR="00F3773E">
        <w:t>ealth and Welfare</w:t>
      </w:r>
      <w:r w:rsidR="008B3683">
        <w:t xml:space="preserve"> </w:t>
      </w:r>
      <w:r w:rsidR="00F3773E">
        <w:t>had improperly interfered</w:t>
      </w:r>
      <w:r w:rsidR="00CE3862">
        <w:t xml:space="preserve">, </w:t>
      </w:r>
      <w:r w:rsidR="004C2C15">
        <w:t xml:space="preserve">through </w:t>
      </w:r>
      <w:r w:rsidR="000E75B6">
        <w:t xml:space="preserve">the </w:t>
      </w:r>
      <w:r w:rsidR="008B3683">
        <w:t>N</w:t>
      </w:r>
      <w:r w:rsidR="000E75B6">
        <w:t>ational Pens</w:t>
      </w:r>
      <w:r w:rsidR="005141D2">
        <w:t>i</w:t>
      </w:r>
      <w:r w:rsidR="000E75B6">
        <w:t>on Service</w:t>
      </w:r>
      <w:r w:rsidR="008B3683">
        <w:t xml:space="preserve"> of Korea</w:t>
      </w:r>
      <w:r w:rsidR="000E75B6">
        <w:t xml:space="preserve"> (“the NPS”)</w:t>
      </w:r>
      <w:r w:rsidR="00787D2D">
        <w:t>,</w:t>
      </w:r>
      <w:r w:rsidR="00F3773E">
        <w:t xml:space="preserve"> </w:t>
      </w:r>
      <w:r w:rsidR="00343969">
        <w:t xml:space="preserve">to </w:t>
      </w:r>
      <w:r w:rsidR="006A7078">
        <w:t xml:space="preserve">procure a merger involving a </w:t>
      </w:r>
      <w:r w:rsidR="00DA7277">
        <w:t xml:space="preserve">Korean </w:t>
      </w:r>
      <w:r w:rsidR="006A7078">
        <w:t xml:space="preserve">company in which Elliott had invested, </w:t>
      </w:r>
      <w:r w:rsidR="00E1324E">
        <w:t xml:space="preserve">Samsung C&amp;T Corporation, </w:t>
      </w:r>
      <w:r w:rsidR="006A7078">
        <w:t>contrary to Elliott</w:t>
      </w:r>
      <w:r w:rsidR="00DA7277">
        <w:t xml:space="preserve">’s interests and </w:t>
      </w:r>
      <w:r w:rsidR="009C684C">
        <w:t>wishes</w:t>
      </w:r>
      <w:r w:rsidR="009848CD">
        <w:t>. Elliott alleged that Korea had ther</w:t>
      </w:r>
      <w:r w:rsidR="00AC064B">
        <w:t>eb</w:t>
      </w:r>
      <w:r w:rsidR="009848CD">
        <w:t>y breache</w:t>
      </w:r>
      <w:r w:rsidR="00580982">
        <w:t>d</w:t>
      </w:r>
      <w:r w:rsidR="009848CD">
        <w:t xml:space="preserve"> the </w:t>
      </w:r>
      <w:r w:rsidR="00AC064B">
        <w:t xml:space="preserve">National Treatment </w:t>
      </w:r>
      <w:r w:rsidR="001B32D3">
        <w:t>s</w:t>
      </w:r>
      <w:r w:rsidR="00AC064B">
        <w:t xml:space="preserve">tandards and Minimum Standards of Treatment obligations in the </w:t>
      </w:r>
      <w:r w:rsidR="00067255">
        <w:t>Treaty</w:t>
      </w:r>
      <w:r w:rsidR="001B32D3">
        <w:t xml:space="preserve">, </w:t>
      </w:r>
      <w:r w:rsidR="00AC064B">
        <w:t>caus</w:t>
      </w:r>
      <w:r w:rsidR="00336D1E">
        <w:t>ing</w:t>
      </w:r>
      <w:r w:rsidR="00AC064B">
        <w:t xml:space="preserve"> Elliott damage. </w:t>
      </w:r>
      <w:r w:rsidR="000620D3">
        <w:t xml:space="preserve">  </w:t>
      </w:r>
      <w:r w:rsidR="00181427">
        <w:t xml:space="preserve">  </w:t>
      </w:r>
      <w:r w:rsidR="0061332D">
        <w:t xml:space="preserve"> </w:t>
      </w:r>
    </w:p>
    <w:p w14:paraId="76A24B1C" w14:textId="7BB08F70" w:rsidR="00F54517" w:rsidRDefault="0038004E" w:rsidP="00130DB4">
      <w:pPr>
        <w:pStyle w:val="ParaLevel1"/>
      </w:pPr>
      <w:r>
        <w:t xml:space="preserve">Korea </w:t>
      </w:r>
      <w:r w:rsidR="00A74F16">
        <w:t xml:space="preserve">objected to the jurisdiction of the </w:t>
      </w:r>
      <w:r w:rsidR="00652BC7">
        <w:t>UNCITRAL</w:t>
      </w:r>
      <w:r w:rsidR="00977C26">
        <w:t xml:space="preserve"> t</w:t>
      </w:r>
      <w:r w:rsidR="00A74F16">
        <w:t>ribunal</w:t>
      </w:r>
      <w:r w:rsidR="00977C26">
        <w:t xml:space="preserve"> (“the Tribunal”)</w:t>
      </w:r>
      <w:r w:rsidR="00A74F16">
        <w:t xml:space="preserve">, </w:t>
      </w:r>
      <w:r w:rsidR="00DD378D">
        <w:t>asserting that the claim did not fall within Chapter 11</w:t>
      </w:r>
      <w:r w:rsidR="004B504A">
        <w:t xml:space="preserve">, including its dispute resolution provisions, because </w:t>
      </w:r>
      <w:r w:rsidR="00585DF6">
        <w:t xml:space="preserve">(i) </w:t>
      </w:r>
      <w:r w:rsidR="00A5788A">
        <w:t xml:space="preserve">there was no relevant </w:t>
      </w:r>
      <w:r w:rsidR="00263254">
        <w:t>“</w:t>
      </w:r>
      <w:r w:rsidR="00A5788A">
        <w:t>measure</w:t>
      </w:r>
      <w:r w:rsidR="00C37821">
        <w:t xml:space="preserve">”, </w:t>
      </w:r>
      <w:r w:rsidR="00585DF6">
        <w:t xml:space="preserve">(ii) there was </w:t>
      </w:r>
      <w:r w:rsidR="000D74F0">
        <w:t xml:space="preserve">no measure </w:t>
      </w:r>
      <w:r w:rsidR="004B504A">
        <w:t xml:space="preserve"> </w:t>
      </w:r>
      <w:r w:rsidR="000D74F0">
        <w:t>“</w:t>
      </w:r>
      <w:r w:rsidR="00A5788A">
        <w:t>adopted or maintained</w:t>
      </w:r>
      <w:r w:rsidR="000D74F0">
        <w:t>”</w:t>
      </w:r>
      <w:r w:rsidR="00A5788A">
        <w:t xml:space="preserve"> by Korea </w:t>
      </w:r>
      <w:r w:rsidR="00263254">
        <w:t xml:space="preserve">and/or </w:t>
      </w:r>
      <w:r w:rsidR="00585DF6">
        <w:t xml:space="preserve">(iii) </w:t>
      </w:r>
      <w:r w:rsidR="00263254">
        <w:t xml:space="preserve">any measure did not “relate to” Elliott or its investment. </w:t>
      </w:r>
    </w:p>
    <w:p w14:paraId="4A00A197" w14:textId="73623AA8" w:rsidR="004A3934" w:rsidRDefault="0015474A" w:rsidP="00130DB4">
      <w:pPr>
        <w:pStyle w:val="ParaLevel1"/>
      </w:pPr>
      <w:r>
        <w:t>On 20 June 2023 the Tr</w:t>
      </w:r>
      <w:r w:rsidR="00E21ED5">
        <w:t xml:space="preserve">ibunal </w:t>
      </w:r>
      <w:r w:rsidR="00DC61CD">
        <w:t>issued its award</w:t>
      </w:r>
      <w:r w:rsidR="000656FC">
        <w:t xml:space="preserve"> (“the Award”)</w:t>
      </w:r>
      <w:r w:rsidR="00D66421">
        <w:t xml:space="preserve">, determining that the </w:t>
      </w:r>
      <w:r w:rsidR="007B2B8C">
        <w:t xml:space="preserve">conduct of </w:t>
      </w:r>
      <w:r w:rsidR="000F3BDF">
        <w:t xml:space="preserve">the Blue House and the Ministry </w:t>
      </w:r>
      <w:r w:rsidR="008061F4">
        <w:t xml:space="preserve">of Health </w:t>
      </w:r>
      <w:r w:rsidR="00707D27">
        <w:t xml:space="preserve">and Welfare </w:t>
      </w:r>
      <w:r w:rsidR="007B2B8C">
        <w:t xml:space="preserve">in </w:t>
      </w:r>
      <w:r w:rsidR="000F3BDF">
        <w:t>influenc</w:t>
      </w:r>
      <w:r w:rsidR="007B2B8C">
        <w:t>ing</w:t>
      </w:r>
      <w:r w:rsidR="000F3BDF">
        <w:t xml:space="preserve"> NPS’</w:t>
      </w:r>
      <w:r w:rsidR="00F70D08">
        <w:t xml:space="preserve">s </w:t>
      </w:r>
      <w:r w:rsidR="005906BA">
        <w:t xml:space="preserve">merger vote </w:t>
      </w:r>
      <w:r w:rsidR="00B86D15">
        <w:t xml:space="preserve">was State conduct which </w:t>
      </w:r>
      <w:r w:rsidR="0038028D">
        <w:t>fell within the term “</w:t>
      </w:r>
      <w:r w:rsidR="00AC5677">
        <w:t>measure” as used in the</w:t>
      </w:r>
      <w:r w:rsidR="0014705E">
        <w:t xml:space="preserve"> </w:t>
      </w:r>
      <w:r w:rsidR="00115A94">
        <w:t>Treaty</w:t>
      </w:r>
      <w:r w:rsidR="00FC5C25">
        <w:t>, despite being neither regulato</w:t>
      </w:r>
      <w:r w:rsidR="00B86D15">
        <w:t>r</w:t>
      </w:r>
      <w:r w:rsidR="00FC5C25">
        <w:t xml:space="preserve">y </w:t>
      </w:r>
      <w:r w:rsidR="00465098">
        <w:t>n</w:t>
      </w:r>
      <w:r w:rsidR="00FC5C25">
        <w:t>or administr</w:t>
      </w:r>
      <w:r w:rsidR="00B86D15">
        <w:t>at</w:t>
      </w:r>
      <w:r w:rsidR="00FC5C25">
        <w:t>i</w:t>
      </w:r>
      <w:r w:rsidR="00B86D15">
        <w:t>v</w:t>
      </w:r>
      <w:r w:rsidR="00FC5C25">
        <w:t>e action</w:t>
      </w:r>
      <w:r w:rsidR="004248F2">
        <w:t xml:space="preserve">. The Tribunal further held that the measure had been adopted or maintained by Korea and </w:t>
      </w:r>
      <w:r w:rsidR="00007A1D">
        <w:t>relate</w:t>
      </w:r>
      <w:r w:rsidR="00FA2816">
        <w:t>d</w:t>
      </w:r>
      <w:r w:rsidR="00007A1D">
        <w:t xml:space="preserve"> to Elliott.</w:t>
      </w:r>
      <w:r w:rsidR="00FB480D">
        <w:t xml:space="preserve"> </w:t>
      </w:r>
      <w:r w:rsidR="00007A1D">
        <w:t xml:space="preserve">The Tribunal went on </w:t>
      </w:r>
      <w:r w:rsidR="00F268D8">
        <w:t xml:space="preserve">to find a breach of the Minimum Standard of Treatment </w:t>
      </w:r>
      <w:r w:rsidR="003646D4">
        <w:t>o</w:t>
      </w:r>
      <w:r w:rsidR="00F268D8">
        <w:t xml:space="preserve">bligation and </w:t>
      </w:r>
      <w:r w:rsidR="00D02821">
        <w:t>award</w:t>
      </w:r>
      <w:r w:rsidR="009A0399">
        <w:t>ed</w:t>
      </w:r>
      <w:r w:rsidR="00D02821">
        <w:t xml:space="preserve"> </w:t>
      </w:r>
      <w:r w:rsidR="00A6333C">
        <w:t>Elliott damages</w:t>
      </w:r>
      <w:r w:rsidR="00331258">
        <w:t xml:space="preserve"> in the sum of </w:t>
      </w:r>
      <w:r w:rsidR="00CF2446">
        <w:t xml:space="preserve">US$53,586,931, </w:t>
      </w:r>
      <w:r w:rsidR="00A17D46">
        <w:t>subsequently corrected by the Tribunal to</w:t>
      </w:r>
      <w:r w:rsidR="00A6333C">
        <w:t xml:space="preserve"> US</w:t>
      </w:r>
      <w:r w:rsidR="006611EC">
        <w:t>$48,490,4</w:t>
      </w:r>
      <w:r w:rsidR="00707D27">
        <w:t>3</w:t>
      </w:r>
      <w:r w:rsidR="006611EC">
        <w:t>8</w:t>
      </w:r>
      <w:r w:rsidR="004A3934">
        <w:t xml:space="preserve">. </w:t>
      </w:r>
    </w:p>
    <w:p w14:paraId="3BC62BC1" w14:textId="6DBE4B10" w:rsidR="00F54517" w:rsidRDefault="00AC5677" w:rsidP="00130DB4">
      <w:pPr>
        <w:pStyle w:val="ParaLevel1"/>
        <w:numPr>
          <w:ilvl w:val="0"/>
          <w:numId w:val="0"/>
        </w:numPr>
        <w:ind w:left="720"/>
      </w:pPr>
      <w:r>
        <w:lastRenderedPageBreak/>
        <w:t xml:space="preserve"> </w:t>
      </w:r>
    </w:p>
    <w:p w14:paraId="58869CE3" w14:textId="39B13A9C" w:rsidR="00862497" w:rsidRDefault="008639F2" w:rsidP="00130DB4">
      <w:pPr>
        <w:pStyle w:val="ParaLevel1"/>
      </w:pPr>
      <w:r>
        <w:t xml:space="preserve">On </w:t>
      </w:r>
      <w:r w:rsidR="00B37E0B">
        <w:t xml:space="preserve">17 July 2023 </w:t>
      </w:r>
      <w:r w:rsidR="007F5871">
        <w:t xml:space="preserve">Korea issued an </w:t>
      </w:r>
      <w:r w:rsidR="006A0C31">
        <w:t xml:space="preserve">Arbitration claim form seeking to set aside the Award </w:t>
      </w:r>
      <w:r w:rsidR="000076F3">
        <w:t>pursuant to section 67</w:t>
      </w:r>
      <w:r w:rsidR="00E45FDA">
        <w:t xml:space="preserve"> of the 1996 Act </w:t>
      </w:r>
      <w:r w:rsidR="00C45338">
        <w:t xml:space="preserve">on the grounds that the </w:t>
      </w:r>
      <w:r w:rsidR="00857E48">
        <w:t>Tribunal acted outside its substantive jurisdiction</w:t>
      </w:r>
      <w:r w:rsidR="00FA2816">
        <w:t xml:space="preserve">, challenging </w:t>
      </w:r>
      <w:r w:rsidR="00162408">
        <w:t>each aspect of the</w:t>
      </w:r>
      <w:r w:rsidR="002343EB">
        <w:t xml:space="preserve"> Tribunal’s </w:t>
      </w:r>
      <w:r w:rsidR="00956DE1">
        <w:t xml:space="preserve">decision </w:t>
      </w:r>
      <w:r w:rsidR="00162408">
        <w:t>in that regard</w:t>
      </w:r>
      <w:r w:rsidR="00571997">
        <w:t xml:space="preserve">. </w:t>
      </w:r>
      <w:r w:rsidR="00F23865">
        <w:t>A contingent challenge under section 68 of the 1996 Act was resolved when the Tr</w:t>
      </w:r>
      <w:r w:rsidR="00862497">
        <w:t xml:space="preserve">ibunal corrected the quantum of the Award. </w:t>
      </w:r>
    </w:p>
    <w:p w14:paraId="39BE2471" w14:textId="27929245" w:rsidR="00571997" w:rsidRDefault="004860F2" w:rsidP="00130DB4">
      <w:pPr>
        <w:pStyle w:val="ParaLevel1"/>
      </w:pPr>
      <w:r>
        <w:t xml:space="preserve">By his order dated </w:t>
      </w:r>
      <w:r w:rsidR="00E32403">
        <w:t xml:space="preserve">1 August 2024 Foxton J </w:t>
      </w:r>
      <w:r w:rsidR="00A72DBB">
        <w:t>(“the Judge</w:t>
      </w:r>
      <w:r w:rsidR="00305B74">
        <w:t>”</w:t>
      </w:r>
      <w:r w:rsidR="00A72DBB">
        <w:t xml:space="preserve">) </w:t>
      </w:r>
      <w:r w:rsidR="00E32403">
        <w:t xml:space="preserve">dismissed </w:t>
      </w:r>
      <w:r w:rsidR="00B45C4A">
        <w:t xml:space="preserve">Korea’s </w:t>
      </w:r>
      <w:r w:rsidR="007613D3">
        <w:t>section 67 claim</w:t>
      </w:r>
      <w:r w:rsidR="00A94A25">
        <w:t xml:space="preserve">. In </w:t>
      </w:r>
      <w:r w:rsidR="00A72DBB">
        <w:t xml:space="preserve">a reserved judgment of the same date </w:t>
      </w:r>
      <w:r w:rsidR="00C178E8">
        <w:t xml:space="preserve">the Judge </w:t>
      </w:r>
      <w:r w:rsidR="0058682C">
        <w:t xml:space="preserve">held that the </w:t>
      </w:r>
      <w:r w:rsidR="00C7486F">
        <w:t xml:space="preserve">States’ offer to </w:t>
      </w:r>
      <w:r w:rsidR="00A51798">
        <w:t xml:space="preserve">investors to </w:t>
      </w:r>
      <w:r w:rsidR="001E4241">
        <w:t xml:space="preserve">arbitrate in Article 11.16 </w:t>
      </w:r>
      <w:r w:rsidR="000D17D7">
        <w:t>of the</w:t>
      </w:r>
      <w:r w:rsidR="00DF15B2">
        <w:t xml:space="preserve"> </w:t>
      </w:r>
      <w:r w:rsidR="008C76E5">
        <w:t xml:space="preserve">Treaty </w:t>
      </w:r>
      <w:r w:rsidR="000D17D7">
        <w:t xml:space="preserve">was freestanding and </w:t>
      </w:r>
      <w:r w:rsidR="00B9066E">
        <w:t>not conditional on the requirements of Article 11.1</w:t>
      </w:r>
      <w:r w:rsidR="00BF10D1">
        <w:t>(1)</w:t>
      </w:r>
      <w:r w:rsidR="00B9066E">
        <w:t xml:space="preserve"> being met. It followed that </w:t>
      </w:r>
      <w:r w:rsidR="00B2790F">
        <w:t>Korea’s challenges did not go to the substantive jurisdiction of the Tribunal</w:t>
      </w:r>
      <w:r w:rsidR="008A535A">
        <w:t>, the Tribunal hav</w:t>
      </w:r>
      <w:r w:rsidR="00103452">
        <w:t xml:space="preserve">ing </w:t>
      </w:r>
      <w:r w:rsidR="00926F1A">
        <w:t>j</w:t>
      </w:r>
      <w:r w:rsidR="00103452">
        <w:t>urisdiction to determine dispute</w:t>
      </w:r>
      <w:r w:rsidR="009F031E">
        <w:t>s</w:t>
      </w:r>
      <w:r w:rsidR="00103452">
        <w:t xml:space="preserve"> between States and </w:t>
      </w:r>
      <w:r w:rsidR="007E2B0F">
        <w:t>i</w:t>
      </w:r>
      <w:r w:rsidR="00103452">
        <w:t xml:space="preserve">nvestors, including as to whether the </w:t>
      </w:r>
      <w:r w:rsidR="00EC5AD4">
        <w:t>requirements of Article 11.1</w:t>
      </w:r>
      <w:r w:rsidR="00BF10D1">
        <w:t>(1)</w:t>
      </w:r>
      <w:r w:rsidR="00EC5AD4">
        <w:t xml:space="preserve"> were satisfied.</w:t>
      </w:r>
      <w:r w:rsidR="00771F56">
        <w:t xml:space="preserve"> </w:t>
      </w:r>
      <w:r w:rsidR="00706362">
        <w:t xml:space="preserve">Recognising that the </w:t>
      </w:r>
      <w:r w:rsidR="00B95BD7">
        <w:t xml:space="preserve">contrary argument had a real prospect of success, </w:t>
      </w:r>
      <w:r w:rsidR="00B64D1B">
        <w:t xml:space="preserve">however, </w:t>
      </w:r>
      <w:proofErr w:type="gramStart"/>
      <w:r w:rsidR="00B64D1B">
        <w:t>and also</w:t>
      </w:r>
      <w:proofErr w:type="gramEnd"/>
      <w:r w:rsidR="00B64D1B">
        <w:t xml:space="preserve"> </w:t>
      </w:r>
      <w:r w:rsidR="00B95BD7">
        <w:t xml:space="preserve">that the </w:t>
      </w:r>
      <w:r w:rsidR="007F125A">
        <w:t xml:space="preserve">point was of some importance </w:t>
      </w:r>
      <w:r w:rsidR="00F46E56">
        <w:t>in the context of challenges to investment treaty award</w:t>
      </w:r>
      <w:r w:rsidR="00B9773C">
        <w:t>s</w:t>
      </w:r>
      <w:r w:rsidR="00F46E56">
        <w:t>, the</w:t>
      </w:r>
      <w:r w:rsidR="00B64D1B">
        <w:t xml:space="preserve"> Judge granted permission to appeal. </w:t>
      </w:r>
      <w:r w:rsidR="007F125A">
        <w:t xml:space="preserve"> </w:t>
      </w:r>
      <w:r w:rsidR="00EC5AD4">
        <w:t xml:space="preserve">  </w:t>
      </w:r>
      <w:r w:rsidR="00B2790F">
        <w:t xml:space="preserve"> </w:t>
      </w:r>
      <w:r w:rsidR="007613D3">
        <w:t xml:space="preserve"> </w:t>
      </w:r>
      <w:r w:rsidR="00B45C4A">
        <w:t xml:space="preserve"> </w:t>
      </w:r>
      <w:r w:rsidR="00571997">
        <w:t xml:space="preserve">  </w:t>
      </w:r>
    </w:p>
    <w:p w14:paraId="566C6B78" w14:textId="0F97E324" w:rsidR="00453105" w:rsidRDefault="004427CB" w:rsidP="00130DB4">
      <w:pPr>
        <w:pStyle w:val="ParaLevel1"/>
      </w:pPr>
      <w:r>
        <w:t xml:space="preserve">In the light of </w:t>
      </w:r>
      <w:r w:rsidR="009B015F">
        <w:t xml:space="preserve">the Judge’s </w:t>
      </w:r>
      <w:r>
        <w:t>decision, o</w:t>
      </w:r>
      <w:r w:rsidR="00C05C14">
        <w:t>n 2</w:t>
      </w:r>
      <w:r w:rsidR="006968AB">
        <w:t>9</w:t>
      </w:r>
      <w:r w:rsidR="00C05C14">
        <w:t xml:space="preserve"> October 2024</w:t>
      </w:r>
      <w:r w:rsidR="00FE67D9">
        <w:t xml:space="preserve"> the U</w:t>
      </w:r>
      <w:r w:rsidR="006968AB">
        <w:t xml:space="preserve">nited States Department of </w:t>
      </w:r>
      <w:r w:rsidR="00FE67D9">
        <w:t>S</w:t>
      </w:r>
      <w:r w:rsidR="006968AB">
        <w:t xml:space="preserve">tate </w:t>
      </w:r>
      <w:r w:rsidR="00BE339C">
        <w:t>wrote to</w:t>
      </w:r>
      <w:r w:rsidR="00035B0B">
        <w:t xml:space="preserve"> </w:t>
      </w:r>
      <w:r w:rsidR="00820246">
        <w:t xml:space="preserve">the Ministry of Justice in Korea enclosing a </w:t>
      </w:r>
      <w:r w:rsidR="00BF4CAB">
        <w:t xml:space="preserve">diplomatic note confirming </w:t>
      </w:r>
      <w:r w:rsidR="00B30913">
        <w:t xml:space="preserve">“the United States’ view that Article 11.1 of the </w:t>
      </w:r>
      <w:r w:rsidR="004C21ED">
        <w:t xml:space="preserve">KORUS </w:t>
      </w:r>
      <w:r w:rsidR="00B30913">
        <w:t>FTA defines the scope of</w:t>
      </w:r>
      <w:r w:rsidR="002120E9">
        <w:t xml:space="preserve"> </w:t>
      </w:r>
      <w:r w:rsidR="004C21ED">
        <w:t xml:space="preserve">KORUS </w:t>
      </w:r>
      <w:r w:rsidR="002120E9">
        <w:t>FTA Chapter 11 in its entirety</w:t>
      </w:r>
      <w:r w:rsidR="002352B0">
        <w:t>” and that “</w:t>
      </w:r>
      <w:r w:rsidR="002828FF">
        <w:t>a tribunal constituted under Chapter 11 has no jurisdiction unless Article 11.1(1)’s requirements are</w:t>
      </w:r>
      <w:r w:rsidR="009A208A">
        <w:t xml:space="preserve"> satisfied</w:t>
      </w:r>
      <w:r w:rsidR="004C21ED">
        <w:t>”</w:t>
      </w:r>
      <w:r w:rsidR="009A208A">
        <w:t>. On 15 November 2024 the Ministry of Justice replied</w:t>
      </w:r>
      <w:r w:rsidR="00CC4C00">
        <w:t xml:space="preserve">, stating that Korea </w:t>
      </w:r>
      <w:r w:rsidR="00600129">
        <w:t>“</w:t>
      </w:r>
      <w:r w:rsidR="00CC4C00">
        <w:t xml:space="preserve">shares the </w:t>
      </w:r>
      <w:r w:rsidR="00600129">
        <w:t>[</w:t>
      </w:r>
      <w:r w:rsidR="00CC4C00">
        <w:t>USA’</w:t>
      </w:r>
      <w:r w:rsidR="00600129">
        <w:t xml:space="preserve">s] understanding set out in the Diplomatic Note and agrees with it”. </w:t>
      </w:r>
      <w:r w:rsidR="006D3E7B">
        <w:t xml:space="preserve">Korea applies to </w:t>
      </w:r>
      <w:r w:rsidR="00B3729D">
        <w:t xml:space="preserve">adduce </w:t>
      </w:r>
      <w:r w:rsidR="006D3E7B">
        <w:t xml:space="preserve">that </w:t>
      </w:r>
      <w:r w:rsidR="00B3729D">
        <w:t xml:space="preserve">diplomatic </w:t>
      </w:r>
      <w:r w:rsidR="006D3E7B">
        <w:t>exchange as fresh evidence in support of its appeal</w:t>
      </w:r>
      <w:r w:rsidR="00C83A72">
        <w:t xml:space="preserve">, </w:t>
      </w:r>
      <w:r w:rsidR="00B3729D">
        <w:t xml:space="preserve">contending that it is </w:t>
      </w:r>
      <w:r w:rsidR="00F814F5">
        <w:t xml:space="preserve">admissible as to the </w:t>
      </w:r>
      <w:r w:rsidR="00C7132E">
        <w:t xml:space="preserve">proper interpretation of the </w:t>
      </w:r>
      <w:r w:rsidR="00FB7031">
        <w:t xml:space="preserve">Treaty </w:t>
      </w:r>
      <w:r w:rsidR="00453105">
        <w:t>which was not in existence at the time of the hearing before</w:t>
      </w:r>
      <w:r w:rsidR="009B015F">
        <w:t xml:space="preserve"> the Judge.</w:t>
      </w:r>
    </w:p>
    <w:p w14:paraId="531DA81F" w14:textId="416423B8" w:rsidR="00F54517" w:rsidRPr="00646746" w:rsidRDefault="00676931" w:rsidP="00130DB4">
      <w:pPr>
        <w:pStyle w:val="ParaLevel1"/>
        <w:numPr>
          <w:ilvl w:val="0"/>
          <w:numId w:val="0"/>
        </w:numPr>
        <w:rPr>
          <w:b/>
          <w:bCs/>
        </w:rPr>
      </w:pPr>
      <w:r>
        <w:rPr>
          <w:b/>
          <w:bCs/>
        </w:rPr>
        <w:t>Chapter 11</w:t>
      </w:r>
      <w:r w:rsidR="00646746" w:rsidRPr="00646746">
        <w:rPr>
          <w:b/>
          <w:bCs/>
        </w:rPr>
        <w:t xml:space="preserve"> of the</w:t>
      </w:r>
      <w:r w:rsidR="00000AA4" w:rsidRPr="00646746">
        <w:rPr>
          <w:b/>
          <w:bCs/>
        </w:rPr>
        <w:t xml:space="preserve"> KORUS FTA</w:t>
      </w:r>
      <w:r w:rsidR="006D3E7B" w:rsidRPr="00646746">
        <w:rPr>
          <w:b/>
          <w:bCs/>
        </w:rPr>
        <w:t xml:space="preserve"> </w:t>
      </w:r>
      <w:r w:rsidR="00600129" w:rsidRPr="00646746">
        <w:rPr>
          <w:b/>
          <w:bCs/>
        </w:rPr>
        <w:t xml:space="preserve"> </w:t>
      </w:r>
      <w:r w:rsidR="00CC4C00" w:rsidRPr="00646746">
        <w:rPr>
          <w:b/>
          <w:bCs/>
        </w:rPr>
        <w:t xml:space="preserve"> </w:t>
      </w:r>
      <w:r w:rsidR="00B30913" w:rsidRPr="00646746">
        <w:rPr>
          <w:b/>
          <w:bCs/>
        </w:rPr>
        <w:t xml:space="preserve">  </w:t>
      </w:r>
      <w:r w:rsidR="00BE339C" w:rsidRPr="00646746">
        <w:rPr>
          <w:b/>
          <w:bCs/>
        </w:rPr>
        <w:t xml:space="preserve"> </w:t>
      </w:r>
    </w:p>
    <w:p w14:paraId="4DFE0B95" w14:textId="22EC2BB1" w:rsidR="00F1056A" w:rsidRDefault="00DD61CB" w:rsidP="00130DB4">
      <w:pPr>
        <w:pStyle w:val="ParaLevel1"/>
      </w:pPr>
      <w:r>
        <w:t xml:space="preserve">Chapter 11 </w:t>
      </w:r>
      <w:r w:rsidR="00A96889">
        <w:t xml:space="preserve">of the </w:t>
      </w:r>
      <w:r w:rsidR="002130E1">
        <w:t xml:space="preserve">Treaty </w:t>
      </w:r>
      <w:r w:rsidR="00A96889">
        <w:t>is headed “Investment”</w:t>
      </w:r>
      <w:r w:rsidR="004A2B07">
        <w:t xml:space="preserve">. </w:t>
      </w:r>
      <w:r w:rsidR="00FF2AAE">
        <w:t>It is divided into three sections</w:t>
      </w:r>
      <w:r w:rsidR="00475D5B">
        <w:t xml:space="preserve">. Section A is also entitled </w:t>
      </w:r>
      <w:r w:rsidR="00DF2726">
        <w:t xml:space="preserve">“Investment” and </w:t>
      </w:r>
      <w:r w:rsidR="00511BB7">
        <w:t>s</w:t>
      </w:r>
      <w:r w:rsidR="000948B3">
        <w:t xml:space="preserve">tarts with the following </w:t>
      </w:r>
      <w:r w:rsidR="00DF2726">
        <w:t>provision</w:t>
      </w:r>
      <w:r w:rsidR="00E927D0">
        <w:t>s</w:t>
      </w:r>
      <w:r w:rsidR="00A01590">
        <w:t>:</w:t>
      </w:r>
      <w:r w:rsidR="00DF2726">
        <w:t xml:space="preserve">  </w:t>
      </w:r>
      <w:r w:rsidR="00FF2AAE">
        <w:t xml:space="preserve"> </w:t>
      </w:r>
    </w:p>
    <w:p w14:paraId="6A09560A" w14:textId="00164E94" w:rsidR="000948B3" w:rsidRDefault="000948B3" w:rsidP="00130DB4">
      <w:pPr>
        <w:pStyle w:val="ParaLevel1"/>
        <w:numPr>
          <w:ilvl w:val="0"/>
          <w:numId w:val="0"/>
        </w:numPr>
        <w:ind w:left="1418" w:right="851"/>
      </w:pPr>
      <w:r>
        <w:t>“ARTICLE 11.1: SCOPE AND COVERAGE</w:t>
      </w:r>
    </w:p>
    <w:p w14:paraId="0336A137" w14:textId="075C83E9" w:rsidR="000948B3" w:rsidRDefault="000948B3" w:rsidP="00130DB4">
      <w:pPr>
        <w:pStyle w:val="ParaLevel1"/>
        <w:numPr>
          <w:ilvl w:val="0"/>
          <w:numId w:val="0"/>
        </w:numPr>
        <w:ind w:left="1418" w:right="851"/>
      </w:pPr>
      <w:r>
        <w:t xml:space="preserve">1. </w:t>
      </w:r>
      <w:r>
        <w:tab/>
        <w:t>This Chapter applies to measures adopted or maintained by a Party relating to:</w:t>
      </w:r>
    </w:p>
    <w:p w14:paraId="61D37DD1" w14:textId="77777777" w:rsidR="000948B3" w:rsidRDefault="000948B3" w:rsidP="00130DB4">
      <w:pPr>
        <w:pStyle w:val="ParaLevel1"/>
        <w:numPr>
          <w:ilvl w:val="0"/>
          <w:numId w:val="0"/>
        </w:numPr>
        <w:ind w:left="1701" w:right="851"/>
      </w:pPr>
      <w:r>
        <w:t xml:space="preserve">(a) </w:t>
      </w:r>
      <w:r>
        <w:tab/>
        <w:t xml:space="preserve">investors of the other </w:t>
      </w:r>
      <w:proofErr w:type="gramStart"/>
      <w:r>
        <w:t>Party;</w:t>
      </w:r>
      <w:proofErr w:type="gramEnd"/>
    </w:p>
    <w:p w14:paraId="098E95AC" w14:textId="77777777" w:rsidR="000948B3" w:rsidRDefault="000948B3" w:rsidP="00130DB4">
      <w:pPr>
        <w:pStyle w:val="ParaLevel1"/>
        <w:numPr>
          <w:ilvl w:val="0"/>
          <w:numId w:val="0"/>
        </w:numPr>
        <w:ind w:left="1701" w:right="851"/>
      </w:pPr>
      <w:r>
        <w:t xml:space="preserve">(b) </w:t>
      </w:r>
      <w:r>
        <w:tab/>
        <w:t>covered investments; and</w:t>
      </w:r>
    </w:p>
    <w:p w14:paraId="3E108A54" w14:textId="27B74B9D" w:rsidR="000948B3" w:rsidRDefault="000948B3" w:rsidP="00130DB4">
      <w:pPr>
        <w:pStyle w:val="ParaLevel1"/>
        <w:numPr>
          <w:ilvl w:val="0"/>
          <w:numId w:val="0"/>
        </w:numPr>
        <w:ind w:left="1701" w:right="851"/>
      </w:pPr>
      <w:r>
        <w:t xml:space="preserve">(c) </w:t>
      </w:r>
      <w:r>
        <w:tab/>
      </w:r>
      <w:r w:rsidR="00E04301">
        <w:t>with respect to Articles 11.8 and 11.10, all investments in the territory of the Party.</w:t>
      </w:r>
    </w:p>
    <w:p w14:paraId="1B977DC0" w14:textId="4166DBD9" w:rsidR="000948B3" w:rsidRDefault="00B9254F" w:rsidP="00130DB4">
      <w:pPr>
        <w:pStyle w:val="ParaLevel1"/>
        <w:numPr>
          <w:ilvl w:val="0"/>
          <w:numId w:val="0"/>
        </w:numPr>
        <w:ind w:left="1418" w:right="851"/>
      </w:pPr>
      <w:r>
        <w:t>2.  For greater certainty, this Chapter does not bind either Party in relation to any act or fact that took place or any situation that ceased to exist before the date of entry into force of this Agreement</w:t>
      </w:r>
      <w:r w:rsidR="00E927D0">
        <w:t>.</w:t>
      </w:r>
      <w:r w:rsidR="000948B3">
        <w:tab/>
      </w:r>
    </w:p>
    <w:p w14:paraId="1DC0024C" w14:textId="4DC04AAD" w:rsidR="000948B3" w:rsidRDefault="000948B3" w:rsidP="00130DB4">
      <w:pPr>
        <w:pStyle w:val="ParaLevel1"/>
        <w:numPr>
          <w:ilvl w:val="0"/>
          <w:numId w:val="0"/>
        </w:numPr>
        <w:ind w:left="1418" w:right="851"/>
      </w:pPr>
      <w:r>
        <w:lastRenderedPageBreak/>
        <w:t xml:space="preserve">3. </w:t>
      </w:r>
      <w:r>
        <w:tab/>
        <w:t xml:space="preserve">For purposes of this Chapter, </w:t>
      </w:r>
      <w:r>
        <w:rPr>
          <w:b/>
          <w:bCs/>
        </w:rPr>
        <w:t>measures adopted or maintained by a Party</w:t>
      </w:r>
      <w:r>
        <w:t xml:space="preserve"> means measures adopted or maintained by:</w:t>
      </w:r>
    </w:p>
    <w:p w14:paraId="6A24E563" w14:textId="6E81BBA8" w:rsidR="000948B3" w:rsidRDefault="000948B3" w:rsidP="00130DB4">
      <w:pPr>
        <w:pStyle w:val="ParaLevel1"/>
        <w:numPr>
          <w:ilvl w:val="0"/>
          <w:numId w:val="0"/>
        </w:numPr>
        <w:ind w:left="1701" w:right="851"/>
      </w:pPr>
      <w:r>
        <w:t>(a) central, regional, or local governments and authorities; and</w:t>
      </w:r>
    </w:p>
    <w:p w14:paraId="05FFE998" w14:textId="02091B30" w:rsidR="00E927D0" w:rsidRDefault="000948B3" w:rsidP="00130DB4">
      <w:pPr>
        <w:pStyle w:val="ParaLevel1"/>
        <w:numPr>
          <w:ilvl w:val="0"/>
          <w:numId w:val="0"/>
        </w:numPr>
        <w:ind w:left="1701" w:right="851"/>
      </w:pPr>
      <w:r>
        <w:t>(b) non-governmental bodies in the exercise of powers delegated by central, regional, or local governments or authorities.</w:t>
      </w:r>
    </w:p>
    <w:p w14:paraId="549ACCED" w14:textId="2CFFF3F2" w:rsidR="00FB574A" w:rsidRDefault="00E927D0" w:rsidP="00130DB4">
      <w:pPr>
        <w:pStyle w:val="ParaLevel1"/>
        <w:numPr>
          <w:ilvl w:val="0"/>
          <w:numId w:val="0"/>
        </w:numPr>
        <w:ind w:left="1418" w:right="851"/>
      </w:pPr>
      <w:r>
        <w:t xml:space="preserve">ARTICLE </w:t>
      </w:r>
      <w:r w:rsidR="00784465">
        <w:t>11.</w:t>
      </w:r>
      <w:r>
        <w:t>2</w:t>
      </w:r>
      <w:r w:rsidR="00FB574A">
        <w:t>: RELATION TO OTHER CHAPTERS</w:t>
      </w:r>
    </w:p>
    <w:p w14:paraId="569DA768" w14:textId="77777777" w:rsidR="00FB574A" w:rsidRDefault="00FB574A" w:rsidP="00130DB4">
      <w:pPr>
        <w:ind w:left="1418" w:right="851"/>
        <w:jc w:val="both"/>
      </w:pPr>
      <w:r>
        <w:t>1.</w:t>
      </w:r>
      <w:r>
        <w:tab/>
        <w:t xml:space="preserve">In the event of any inconsistency between this Chapter and another Chapter, the other Chapter shall prevail to the extent of the inconsistency. </w:t>
      </w:r>
    </w:p>
    <w:p w14:paraId="4C1C81EF" w14:textId="77777777" w:rsidR="00963ACD" w:rsidRDefault="00963ACD" w:rsidP="00130DB4">
      <w:pPr>
        <w:ind w:left="1418" w:right="851"/>
        <w:jc w:val="both"/>
      </w:pPr>
    </w:p>
    <w:p w14:paraId="792C1406" w14:textId="77777777" w:rsidR="00FB574A" w:rsidRDefault="00FB574A" w:rsidP="00130DB4">
      <w:pPr>
        <w:ind w:left="1418" w:right="851"/>
        <w:jc w:val="both"/>
      </w:pPr>
      <w:r>
        <w:t xml:space="preserve">2. </w:t>
      </w:r>
      <w:r>
        <w:tab/>
        <w:t xml:space="preserve">A requirement by a Party that a service supplier of the other Party post a bond or other form of financial security as a condition of the cross-border supply of a service does not of itself make this Chapter applicable to measures adopted or maintained by the Party relating to such cross-border supply of the service. This Chapter applies to measures adopted or maintained by the Party relating to the posted bond or financial security, to the extent that such bond or financial security is a covered investment. </w:t>
      </w:r>
    </w:p>
    <w:p w14:paraId="1FF0A6CE" w14:textId="77777777" w:rsidR="00963ACD" w:rsidRDefault="00963ACD" w:rsidP="00130DB4">
      <w:pPr>
        <w:ind w:left="1418" w:right="851"/>
        <w:jc w:val="both"/>
      </w:pPr>
    </w:p>
    <w:p w14:paraId="2481079E" w14:textId="2405CE8B" w:rsidR="000948B3" w:rsidRDefault="00FB574A" w:rsidP="00130DB4">
      <w:pPr>
        <w:ind w:left="1418" w:right="851"/>
        <w:jc w:val="both"/>
      </w:pPr>
      <w:r>
        <w:t xml:space="preserve">3. </w:t>
      </w:r>
      <w:r>
        <w:tab/>
        <w:t>This Chapter does not apply to measures adopted or maintained by a Party to the extent that they are covered by Chapter Thirteen (Financial Services).</w:t>
      </w:r>
      <w:r w:rsidR="000948B3">
        <w:t>”</w:t>
      </w:r>
    </w:p>
    <w:p w14:paraId="050E0D85" w14:textId="7A155433" w:rsidR="000948B3" w:rsidRDefault="00F57DC5" w:rsidP="00130DB4">
      <w:pPr>
        <w:pStyle w:val="ParaLevel1"/>
      </w:pPr>
      <w:r>
        <w:t xml:space="preserve">In the same section, </w:t>
      </w:r>
      <w:r w:rsidR="008A4D2B">
        <w:t>Article</w:t>
      </w:r>
      <w:r w:rsidR="008F5C2D">
        <w:t xml:space="preserve">s 11.3 to 11.9 </w:t>
      </w:r>
      <w:r w:rsidR="004922DC">
        <w:t xml:space="preserve">set out the substantive obligations on </w:t>
      </w:r>
      <w:r w:rsidR="00B671E8">
        <w:t xml:space="preserve">each State </w:t>
      </w:r>
      <w:r w:rsidR="00E20EEF">
        <w:t xml:space="preserve">in relation to the treatment of investors </w:t>
      </w:r>
      <w:r w:rsidR="00E116BA">
        <w:t xml:space="preserve">and covered investments of the other State. These include the </w:t>
      </w:r>
      <w:r w:rsidR="0051407B">
        <w:t xml:space="preserve">National Treatment standards in Article </w:t>
      </w:r>
      <w:r w:rsidR="00340D91">
        <w:t>11.</w:t>
      </w:r>
      <w:r w:rsidR="0051407B">
        <w:t>3 and the Minimum Standard of Treatment in Article</w:t>
      </w:r>
      <w:r w:rsidR="00340D91">
        <w:t xml:space="preserve"> 11.5 referred to abov</w:t>
      </w:r>
      <w:r w:rsidR="00E13518">
        <w:t xml:space="preserve">e, as well as </w:t>
      </w:r>
      <w:r w:rsidR="000C0475">
        <w:t>Most</w:t>
      </w:r>
      <w:r w:rsidR="00806157">
        <w:t xml:space="preserve">-Favoured Nation treatment obligation in Article 11.4, </w:t>
      </w:r>
      <w:r w:rsidR="008D39DC">
        <w:t>prohibition on expropriation and nationalisation in Article 11.6</w:t>
      </w:r>
      <w:r w:rsidR="004566CE">
        <w:t>,</w:t>
      </w:r>
      <w:r w:rsidR="008D39DC">
        <w:t xml:space="preserve"> </w:t>
      </w:r>
      <w:r w:rsidR="00CD161A">
        <w:t>requirements to permit free transfers into and out of the State’s terri</w:t>
      </w:r>
      <w:r w:rsidR="004566CE">
        <w:t>t</w:t>
      </w:r>
      <w:r w:rsidR="00CD161A">
        <w:t>ory in Article 11.</w:t>
      </w:r>
      <w:r w:rsidR="004566CE">
        <w:t xml:space="preserve">7 and prohibition on the imposition of </w:t>
      </w:r>
      <w:r w:rsidR="00F60382">
        <w:t>performance requirements in Article 11.8</w:t>
      </w:r>
      <w:r w:rsidR="00E13518">
        <w:t>.</w:t>
      </w:r>
      <w:r w:rsidR="0051407B">
        <w:t xml:space="preserve"> </w:t>
      </w:r>
    </w:p>
    <w:p w14:paraId="4E731CB7" w14:textId="2CAE439E" w:rsidR="00B30C28" w:rsidRDefault="00B30C28" w:rsidP="00130DB4">
      <w:pPr>
        <w:pStyle w:val="ParaLevel1"/>
      </w:pPr>
      <w:r>
        <w:t xml:space="preserve">Section </w:t>
      </w:r>
      <w:r w:rsidR="004E2081">
        <w:t xml:space="preserve">A </w:t>
      </w:r>
      <w:r>
        <w:t xml:space="preserve">further </w:t>
      </w:r>
      <w:r w:rsidR="004E2081">
        <w:t>provides as fo</w:t>
      </w:r>
      <w:r>
        <w:t>llow</w:t>
      </w:r>
      <w:r w:rsidR="004E2081">
        <w:t>s</w:t>
      </w:r>
      <w:r>
        <w:t>:</w:t>
      </w:r>
    </w:p>
    <w:p w14:paraId="195C543A" w14:textId="076B40E6" w:rsidR="00B30C28" w:rsidRDefault="00493ECF" w:rsidP="00130DB4">
      <w:pPr>
        <w:pStyle w:val="ParaLevel1"/>
        <w:numPr>
          <w:ilvl w:val="0"/>
          <w:numId w:val="0"/>
        </w:numPr>
        <w:ind w:left="1418" w:right="851"/>
      </w:pPr>
      <w:r>
        <w:t>“</w:t>
      </w:r>
      <w:r w:rsidR="00B30C28">
        <w:t>ARTICLE 11.11: DENIAL OF BENEFITS</w:t>
      </w:r>
    </w:p>
    <w:p w14:paraId="0617FD01" w14:textId="3264BD5B" w:rsidR="00B30C28" w:rsidRDefault="00B30C28" w:rsidP="00130DB4">
      <w:pPr>
        <w:pStyle w:val="ParaLevel1"/>
        <w:numPr>
          <w:ilvl w:val="0"/>
          <w:numId w:val="0"/>
        </w:numPr>
        <w:ind w:left="1418" w:right="851"/>
      </w:pPr>
      <w:r>
        <w:t xml:space="preserve">1. </w:t>
      </w:r>
      <w:r>
        <w:tab/>
        <w:t>A Party may deny the benefits of this Chapter to an investor of the other Party that is an enterprise of such other Party and to investments of that investor if persons of a non-Party own or control the enterprise and the denying Party:</w:t>
      </w:r>
    </w:p>
    <w:p w14:paraId="6151D139" w14:textId="77777777" w:rsidR="00B30C28" w:rsidRDefault="00B30C28" w:rsidP="00130DB4">
      <w:pPr>
        <w:pStyle w:val="ParaLevel1"/>
        <w:numPr>
          <w:ilvl w:val="0"/>
          <w:numId w:val="0"/>
        </w:numPr>
        <w:ind w:left="1701" w:right="851"/>
      </w:pPr>
      <w:r>
        <w:t xml:space="preserve">(a) </w:t>
      </w:r>
      <w:r>
        <w:tab/>
        <w:t>does not maintain normal economic relations with the non-Party; or</w:t>
      </w:r>
    </w:p>
    <w:p w14:paraId="1AD46AF3" w14:textId="77777777" w:rsidR="00B30C28" w:rsidRDefault="00B30C28" w:rsidP="00130DB4">
      <w:pPr>
        <w:pStyle w:val="ParaLevel1"/>
        <w:numPr>
          <w:ilvl w:val="0"/>
          <w:numId w:val="0"/>
        </w:numPr>
        <w:ind w:left="1701" w:right="851"/>
      </w:pPr>
      <w:r>
        <w:t xml:space="preserve">(b) </w:t>
      </w:r>
      <w:r>
        <w:tab/>
        <w:t xml:space="preserve">adopts or maintains measures with respect to the non-Party or a person of the non-Party that prohibit transactions with the </w:t>
      </w:r>
      <w:r>
        <w:lastRenderedPageBreak/>
        <w:t>enterprise or that would be violated or circumvented if the benefits of this Chapter were accorded to the enterprise or to its investments.</w:t>
      </w:r>
    </w:p>
    <w:p w14:paraId="6217ADB0" w14:textId="5BBA0637" w:rsidR="00B30C28" w:rsidRDefault="00B30C28" w:rsidP="00130DB4">
      <w:pPr>
        <w:pStyle w:val="ParaLevel1"/>
        <w:numPr>
          <w:ilvl w:val="0"/>
          <w:numId w:val="0"/>
        </w:numPr>
        <w:ind w:left="1418" w:right="851"/>
      </w:pPr>
      <w:r>
        <w:t xml:space="preserve">2. </w:t>
      </w:r>
      <w:r>
        <w:tab/>
      </w:r>
      <w:r w:rsidR="00285860">
        <w:t xml:space="preserve"> </w:t>
      </w:r>
      <w:r>
        <w:t>A Party may deny the benefits of this Chapter to an investor of the other Party that is an enterprise of such other Party and to investments of that investor if the enterprise has no substantial business activities in the territory of the other Party and persons of a non-Party, or of the denying Party, own or control the enterprise</w:t>
      </w:r>
      <w:r w:rsidR="000823AA">
        <w:t>….</w:t>
      </w:r>
    </w:p>
    <w:p w14:paraId="79199E2A" w14:textId="470AEAAE" w:rsidR="000823AA" w:rsidRDefault="000823AA" w:rsidP="00130DB4">
      <w:pPr>
        <w:pStyle w:val="ParaLevel1"/>
        <w:numPr>
          <w:ilvl w:val="0"/>
          <w:numId w:val="0"/>
        </w:numPr>
        <w:ind w:left="1418" w:right="851"/>
      </w:pPr>
      <w:r>
        <w:t>….</w:t>
      </w:r>
    </w:p>
    <w:p w14:paraId="416F28BB" w14:textId="77777777" w:rsidR="00B30C28" w:rsidRDefault="00B30C28" w:rsidP="00130DB4">
      <w:pPr>
        <w:pStyle w:val="ParaLevel1"/>
        <w:numPr>
          <w:ilvl w:val="0"/>
          <w:numId w:val="0"/>
        </w:numPr>
        <w:ind w:left="1418" w:right="851"/>
      </w:pPr>
      <w:r>
        <w:t>ARTICLE 11.14: SUBROGATION</w:t>
      </w:r>
    </w:p>
    <w:p w14:paraId="607A6812" w14:textId="2D5EB263" w:rsidR="00B30C28" w:rsidRDefault="00B30C28" w:rsidP="00130DB4">
      <w:pPr>
        <w:pStyle w:val="ParaLevel1"/>
        <w:numPr>
          <w:ilvl w:val="0"/>
          <w:numId w:val="0"/>
        </w:numPr>
        <w:ind w:left="1418" w:right="851"/>
      </w:pPr>
      <w:r>
        <w:t xml:space="preserve">1. </w:t>
      </w:r>
      <w:r>
        <w:tab/>
        <w:t>If the Korea Export Insurance Corporation or the Overseas Private Investment Corporation makes a payment to an investor of the Party in which the respective Corporation is established under a guarantee or a contract of insurance it has entered into in respect of an investment, the Corporation shall be considered the subrogee of the investor and shall be entitled to the same rights that the investor would have possessed under this Chapter but for the subrogation, and the investor shall be precluded from pursuing such rights to the extent of the subrogation</w:t>
      </w:r>
      <w:r w:rsidR="000823AA">
        <w:t>….</w:t>
      </w:r>
      <w:r w:rsidR="009650A6">
        <w:t>”</w:t>
      </w:r>
    </w:p>
    <w:p w14:paraId="179CEE3C" w14:textId="5D2DB48F" w:rsidR="00DD11A4" w:rsidRDefault="00DD11A4" w:rsidP="00130DB4">
      <w:pPr>
        <w:pStyle w:val="ParaLevel1"/>
      </w:pPr>
      <w:r>
        <w:t xml:space="preserve">Section B </w:t>
      </w:r>
      <w:r w:rsidR="000823AA">
        <w:t xml:space="preserve">of Chapter 11 </w:t>
      </w:r>
      <w:r w:rsidR="009B2897">
        <w:t>is headed “Investor-State Dispute Settlement”</w:t>
      </w:r>
      <w:r w:rsidR="00792514">
        <w:t>. A</w:t>
      </w:r>
      <w:r w:rsidR="00A35EBF">
        <w:t xml:space="preserve">rticle 11.15 provides for </w:t>
      </w:r>
      <w:r w:rsidR="009D769C">
        <w:t xml:space="preserve">an initial process of consultation and negotiation. The subsequent Articles </w:t>
      </w:r>
      <w:r w:rsidR="00FE229D">
        <w:t>provi</w:t>
      </w:r>
      <w:r w:rsidR="008E5244">
        <w:t>de for arbitration of disputes that cannot be settled in that way</w:t>
      </w:r>
      <w:r w:rsidR="00FE229D">
        <w:t xml:space="preserve">: </w:t>
      </w:r>
    </w:p>
    <w:p w14:paraId="1CFCE82F" w14:textId="1DE7D767" w:rsidR="00F35476" w:rsidRDefault="00792514" w:rsidP="00130DB4">
      <w:pPr>
        <w:pStyle w:val="ParaLevel1"/>
        <w:numPr>
          <w:ilvl w:val="0"/>
          <w:numId w:val="0"/>
        </w:numPr>
        <w:ind w:left="1418" w:right="851"/>
      </w:pPr>
      <w:r>
        <w:t>“</w:t>
      </w:r>
      <w:r w:rsidR="00F35476">
        <w:t>ARTICLE 11.16: SUBMISSION OF A CLAIM TO ARBITRATION</w:t>
      </w:r>
    </w:p>
    <w:p w14:paraId="2D641E61" w14:textId="5DC11963" w:rsidR="00F35476" w:rsidRDefault="00F35476" w:rsidP="00130DB4">
      <w:pPr>
        <w:pStyle w:val="ParaLevel1"/>
        <w:numPr>
          <w:ilvl w:val="0"/>
          <w:numId w:val="0"/>
        </w:numPr>
        <w:ind w:left="1418" w:right="851"/>
      </w:pPr>
      <w:r>
        <w:t xml:space="preserve">1. </w:t>
      </w:r>
      <w:r>
        <w:tab/>
        <w:t>In the event that a disputing party considers that an investment dispute cannot be settled by consultation and negotiation:</w:t>
      </w:r>
    </w:p>
    <w:p w14:paraId="74EE37C4" w14:textId="77777777" w:rsidR="00F35476" w:rsidRDefault="00F35476" w:rsidP="00130DB4">
      <w:pPr>
        <w:pStyle w:val="ParaLevel1"/>
        <w:numPr>
          <w:ilvl w:val="0"/>
          <w:numId w:val="0"/>
        </w:numPr>
        <w:ind w:left="1701" w:right="851"/>
      </w:pPr>
      <w:r>
        <w:t xml:space="preserve">(a) </w:t>
      </w:r>
      <w:r>
        <w:tab/>
        <w:t>the claimant, on its own behalf, may submit to arbitration under this Section a claim</w:t>
      </w:r>
    </w:p>
    <w:p w14:paraId="71DE53CF" w14:textId="77777777" w:rsidR="00F35476" w:rsidRDefault="00F35476" w:rsidP="00130DB4">
      <w:pPr>
        <w:pStyle w:val="ParaLevel1"/>
        <w:numPr>
          <w:ilvl w:val="0"/>
          <w:numId w:val="0"/>
        </w:numPr>
        <w:ind w:left="2268" w:right="851"/>
      </w:pPr>
      <w:r>
        <w:t xml:space="preserve">(i) </w:t>
      </w:r>
      <w:r>
        <w:tab/>
        <w:t>that the respondent has breached</w:t>
      </w:r>
    </w:p>
    <w:p w14:paraId="794224E8" w14:textId="77777777" w:rsidR="00F35476" w:rsidRDefault="00F35476" w:rsidP="00130DB4">
      <w:pPr>
        <w:pStyle w:val="ParaLevel1"/>
        <w:numPr>
          <w:ilvl w:val="0"/>
          <w:numId w:val="0"/>
        </w:numPr>
        <w:ind w:left="2835" w:right="851"/>
      </w:pPr>
      <w:r>
        <w:t>(A) an obligation under Section A,</w:t>
      </w:r>
    </w:p>
    <w:p w14:paraId="798ECA18" w14:textId="77777777" w:rsidR="00F35476" w:rsidRDefault="00F35476" w:rsidP="00130DB4">
      <w:pPr>
        <w:pStyle w:val="ParaLevel1"/>
        <w:numPr>
          <w:ilvl w:val="0"/>
          <w:numId w:val="0"/>
        </w:numPr>
        <w:ind w:left="2835" w:right="851"/>
      </w:pPr>
      <w:r>
        <w:t>(B) an investment authorization, or</w:t>
      </w:r>
    </w:p>
    <w:p w14:paraId="75EBF79F" w14:textId="77777777" w:rsidR="00F35476" w:rsidRDefault="00F35476" w:rsidP="00130DB4">
      <w:pPr>
        <w:pStyle w:val="ParaLevel1"/>
        <w:numPr>
          <w:ilvl w:val="0"/>
          <w:numId w:val="0"/>
        </w:numPr>
        <w:ind w:left="2835" w:right="851"/>
      </w:pPr>
      <w:r>
        <w:t xml:space="preserve">(C) an investment </w:t>
      </w:r>
      <w:proofErr w:type="gramStart"/>
      <w:r>
        <w:t>agreement;</w:t>
      </w:r>
      <w:proofErr w:type="gramEnd"/>
    </w:p>
    <w:p w14:paraId="7887872B" w14:textId="77777777" w:rsidR="00F35476" w:rsidRDefault="00F35476" w:rsidP="00130DB4">
      <w:pPr>
        <w:pStyle w:val="ParaLevel1"/>
        <w:numPr>
          <w:ilvl w:val="0"/>
          <w:numId w:val="0"/>
        </w:numPr>
        <w:ind w:left="2268" w:right="851"/>
      </w:pPr>
      <w:r>
        <w:t>and</w:t>
      </w:r>
    </w:p>
    <w:p w14:paraId="025978EE" w14:textId="77777777" w:rsidR="00F35476" w:rsidRDefault="00F35476" w:rsidP="00130DB4">
      <w:pPr>
        <w:pStyle w:val="ParaLevel1"/>
        <w:numPr>
          <w:ilvl w:val="0"/>
          <w:numId w:val="0"/>
        </w:numPr>
        <w:ind w:left="2268" w:right="851"/>
      </w:pPr>
      <w:r>
        <w:t>(ii)</w:t>
      </w:r>
      <w:r>
        <w:tab/>
        <w:t>that the claimant has incurred loss or damage by reason of, or arising out of, that breach; and</w:t>
      </w:r>
    </w:p>
    <w:p w14:paraId="3D810320" w14:textId="53F7C6D3" w:rsidR="00F35476" w:rsidRDefault="00F35476" w:rsidP="00130DB4">
      <w:pPr>
        <w:pStyle w:val="ParaLevel1"/>
        <w:numPr>
          <w:ilvl w:val="0"/>
          <w:numId w:val="0"/>
        </w:numPr>
        <w:ind w:left="1701" w:right="851"/>
      </w:pPr>
      <w:r>
        <w:t>(b) the claimant, on behalf of an enterprise of the respondent that is a juridical person that the claimant owns or controls directly or indirectly, may submit to arbitration under this Section a claim</w:t>
      </w:r>
    </w:p>
    <w:p w14:paraId="1961B31A" w14:textId="2CC953AA" w:rsidR="00F35476" w:rsidRDefault="00F35476" w:rsidP="00130DB4">
      <w:pPr>
        <w:pStyle w:val="ParaLevel1"/>
        <w:numPr>
          <w:ilvl w:val="0"/>
          <w:numId w:val="0"/>
        </w:numPr>
        <w:ind w:left="2268" w:right="851"/>
      </w:pPr>
      <w:r>
        <w:lastRenderedPageBreak/>
        <w:t>(</w:t>
      </w:r>
      <w:proofErr w:type="spellStart"/>
      <w:r>
        <w:t>i</w:t>
      </w:r>
      <w:proofErr w:type="spellEnd"/>
      <w:r>
        <w:t>) that the respondent has breached</w:t>
      </w:r>
    </w:p>
    <w:p w14:paraId="5420BA12" w14:textId="77777777" w:rsidR="00F35476" w:rsidRDefault="00F35476" w:rsidP="00130DB4">
      <w:pPr>
        <w:pStyle w:val="ParaLevel1"/>
        <w:numPr>
          <w:ilvl w:val="0"/>
          <w:numId w:val="0"/>
        </w:numPr>
        <w:ind w:left="2835" w:right="851"/>
      </w:pPr>
      <w:r>
        <w:t>(A) an obligation under Section A,</w:t>
      </w:r>
    </w:p>
    <w:p w14:paraId="068F2546" w14:textId="77777777" w:rsidR="00F35476" w:rsidRDefault="00F35476" w:rsidP="00130DB4">
      <w:pPr>
        <w:pStyle w:val="ParaLevel1"/>
        <w:numPr>
          <w:ilvl w:val="0"/>
          <w:numId w:val="0"/>
        </w:numPr>
        <w:ind w:left="2835" w:right="851"/>
      </w:pPr>
      <w:r>
        <w:t>(B) an investment authorization, or</w:t>
      </w:r>
    </w:p>
    <w:p w14:paraId="3C95B503" w14:textId="77777777" w:rsidR="00F35476" w:rsidRDefault="00F35476" w:rsidP="00130DB4">
      <w:pPr>
        <w:pStyle w:val="ParaLevel1"/>
        <w:numPr>
          <w:ilvl w:val="0"/>
          <w:numId w:val="0"/>
        </w:numPr>
        <w:ind w:left="2835" w:right="851"/>
      </w:pPr>
      <w:r>
        <w:t xml:space="preserve">(C) an investment </w:t>
      </w:r>
      <w:proofErr w:type="gramStart"/>
      <w:r>
        <w:t>agreement;</w:t>
      </w:r>
      <w:proofErr w:type="gramEnd"/>
    </w:p>
    <w:p w14:paraId="564E11F9" w14:textId="77777777" w:rsidR="00F35476" w:rsidRDefault="00F35476" w:rsidP="00130DB4">
      <w:pPr>
        <w:pStyle w:val="ParaLevel1"/>
        <w:numPr>
          <w:ilvl w:val="0"/>
          <w:numId w:val="0"/>
        </w:numPr>
        <w:ind w:left="2268" w:right="851"/>
      </w:pPr>
      <w:r>
        <w:t>and</w:t>
      </w:r>
    </w:p>
    <w:p w14:paraId="0C146E27" w14:textId="63938104" w:rsidR="00F35476" w:rsidRDefault="00F35476" w:rsidP="00130DB4">
      <w:pPr>
        <w:pStyle w:val="ParaLevel1"/>
        <w:numPr>
          <w:ilvl w:val="0"/>
          <w:numId w:val="0"/>
        </w:numPr>
        <w:ind w:left="2268" w:right="851"/>
      </w:pPr>
      <w:r>
        <w:t>(ii) that the enterprise has incurred loss or damage by reason of, or arising out of, that breach,</w:t>
      </w:r>
    </w:p>
    <w:p w14:paraId="06D288D7" w14:textId="77777777" w:rsidR="00F35476" w:rsidRDefault="00F35476" w:rsidP="00130DB4">
      <w:pPr>
        <w:pStyle w:val="ParaLevel1"/>
        <w:numPr>
          <w:ilvl w:val="0"/>
          <w:numId w:val="0"/>
        </w:numPr>
        <w:ind w:left="1418" w:right="851"/>
      </w:pPr>
      <w:r>
        <w:t>provided that a claimant may submit pursuant to subparagraph (a)(i)(C) or (b)(i)(C) a claim for breach of an investment agreement only if the subject matter of the claim and the claimed damages directly relate to the covered investment that was established or acquired, or sought to be established or acquired, in reliance on the relevant investment agreement.</w:t>
      </w:r>
    </w:p>
    <w:p w14:paraId="612A9C14" w14:textId="24E8B021" w:rsidR="007C2085" w:rsidRDefault="007C2085" w:rsidP="00130DB4">
      <w:pPr>
        <w:pStyle w:val="ParaLevel1"/>
        <w:numPr>
          <w:ilvl w:val="0"/>
          <w:numId w:val="0"/>
        </w:numPr>
        <w:ind w:left="1418" w:right="851"/>
      </w:pPr>
      <w:r>
        <w:t>….</w:t>
      </w:r>
    </w:p>
    <w:p w14:paraId="55D85C32" w14:textId="77777777" w:rsidR="00F35476" w:rsidRDefault="00F35476" w:rsidP="00130DB4">
      <w:pPr>
        <w:pStyle w:val="ParaLevel1"/>
        <w:numPr>
          <w:ilvl w:val="0"/>
          <w:numId w:val="0"/>
        </w:numPr>
        <w:ind w:left="1418" w:right="851"/>
      </w:pPr>
      <w:r>
        <w:t>ARTICLE 11.17: CONSENT OF EACH PARTY TO ARBITRATION</w:t>
      </w:r>
    </w:p>
    <w:p w14:paraId="6855DDED" w14:textId="429B7919" w:rsidR="00F35476" w:rsidRDefault="00F35476" w:rsidP="00130DB4">
      <w:pPr>
        <w:pStyle w:val="ParaLevel1"/>
        <w:numPr>
          <w:ilvl w:val="0"/>
          <w:numId w:val="0"/>
        </w:numPr>
        <w:ind w:left="1418" w:right="851"/>
      </w:pPr>
      <w:r>
        <w:t xml:space="preserve">1. </w:t>
      </w:r>
      <w:r>
        <w:tab/>
        <w:t>Each Party consents to the submission of a claim to arbitration under this Section in accordance with this Agreement.</w:t>
      </w:r>
    </w:p>
    <w:p w14:paraId="412FBF4A" w14:textId="618193D7" w:rsidR="00F35476" w:rsidRDefault="00F35476" w:rsidP="00130DB4">
      <w:pPr>
        <w:pStyle w:val="ParaLevel1"/>
        <w:numPr>
          <w:ilvl w:val="0"/>
          <w:numId w:val="0"/>
        </w:numPr>
        <w:ind w:left="1418" w:right="851"/>
      </w:pPr>
      <w:r>
        <w:t xml:space="preserve">2. </w:t>
      </w:r>
      <w:r>
        <w:tab/>
        <w:t>The consent under paragraph 1 and the submission of a claim to arbitration under this Section shall satisfy the requirements of:</w:t>
      </w:r>
    </w:p>
    <w:p w14:paraId="5FCA4CD4" w14:textId="43117E31" w:rsidR="00F35476" w:rsidRDefault="00F35476" w:rsidP="00130DB4">
      <w:pPr>
        <w:pStyle w:val="ParaLevel1"/>
        <w:numPr>
          <w:ilvl w:val="0"/>
          <w:numId w:val="0"/>
        </w:numPr>
        <w:ind w:left="1701" w:right="851"/>
      </w:pPr>
      <w:r>
        <w:t>(a) Chapter II (Jurisdiction of the Centre) of the ICSID Convention and the ICSID Additional Facility Rules for written consent of the parties to the dispute; and</w:t>
      </w:r>
    </w:p>
    <w:p w14:paraId="6EF23DC6" w14:textId="1122E489" w:rsidR="00F35476" w:rsidRDefault="00F35476" w:rsidP="00130DB4">
      <w:pPr>
        <w:pStyle w:val="ParaLevel1"/>
        <w:numPr>
          <w:ilvl w:val="0"/>
          <w:numId w:val="0"/>
        </w:numPr>
        <w:ind w:left="1701" w:right="851"/>
      </w:pPr>
      <w:r>
        <w:t>(b) Article II of the New York Convention for an “agreement in writing.”</w:t>
      </w:r>
      <w:r w:rsidR="00B719E6">
        <w:t>”</w:t>
      </w:r>
    </w:p>
    <w:p w14:paraId="6048DBDC" w14:textId="3B1324C0" w:rsidR="000F6576" w:rsidRDefault="001E3EFC" w:rsidP="00130DB4">
      <w:pPr>
        <w:pStyle w:val="ParaLevel1"/>
      </w:pPr>
      <w:r>
        <w:t>Article 1</w:t>
      </w:r>
      <w:r w:rsidR="00FA5520">
        <w:t>1.16(2) to (6)</w:t>
      </w:r>
      <w:r w:rsidR="0018108D">
        <w:t xml:space="preserve"> </w:t>
      </w:r>
      <w:r w:rsidR="00793E2A">
        <w:t xml:space="preserve">and Articles 11.18 to </w:t>
      </w:r>
      <w:r w:rsidR="001F23EC">
        <w:t xml:space="preserve">11.21 make provision for commencement </w:t>
      </w:r>
      <w:r w:rsidR="007A7A7F">
        <w:t xml:space="preserve">of </w:t>
      </w:r>
      <w:r w:rsidR="001F23EC">
        <w:t xml:space="preserve">and </w:t>
      </w:r>
      <w:r w:rsidR="00C04877">
        <w:t xml:space="preserve">the procedure for </w:t>
      </w:r>
      <w:r w:rsidR="0056023D">
        <w:t>an arbitration</w:t>
      </w:r>
      <w:r w:rsidR="00C04877">
        <w:t xml:space="preserve">, including that </w:t>
      </w:r>
      <w:r w:rsidR="00543CAE">
        <w:t xml:space="preserve">a claim </w:t>
      </w:r>
      <w:r w:rsidR="0056023D">
        <w:t>may be</w:t>
      </w:r>
      <w:r w:rsidR="00543CAE">
        <w:t xml:space="preserve"> submitted (subject to </w:t>
      </w:r>
      <w:r w:rsidR="003D6CA8">
        <w:t xml:space="preserve">time bar provisions) </w:t>
      </w:r>
      <w:r w:rsidR="0056023D">
        <w:t xml:space="preserve">under </w:t>
      </w:r>
      <w:r w:rsidR="008C4650">
        <w:t xml:space="preserve">the ICSID Convention or the </w:t>
      </w:r>
      <w:r w:rsidR="00F534E9">
        <w:t>UNCITRAL</w:t>
      </w:r>
      <w:r w:rsidR="00113FD5">
        <w:t xml:space="preserve"> </w:t>
      </w:r>
      <w:r w:rsidR="008C4650">
        <w:t>Rules</w:t>
      </w:r>
      <w:r w:rsidR="003D6CA8">
        <w:t xml:space="preserve">. </w:t>
      </w:r>
    </w:p>
    <w:p w14:paraId="201CF488" w14:textId="624A9551" w:rsidR="005E5F57" w:rsidRPr="00380398" w:rsidRDefault="00011B8E" w:rsidP="00130DB4">
      <w:pPr>
        <w:pStyle w:val="ParaLevel1"/>
      </w:pPr>
      <w:r>
        <w:t xml:space="preserve">Article </w:t>
      </w:r>
      <w:r w:rsidR="008A3475">
        <w:t>11.</w:t>
      </w:r>
      <w:r>
        <w:t>22</w:t>
      </w:r>
      <w:r w:rsidR="007569BE">
        <w:t>(1)</w:t>
      </w:r>
      <w:r w:rsidR="005E5F57">
        <w:t xml:space="preserve"> provides </w:t>
      </w:r>
      <w:r w:rsidR="001846C6">
        <w:t xml:space="preserve">that claims </w:t>
      </w:r>
      <w:r w:rsidR="00A66E65">
        <w:t xml:space="preserve">alleging a breach of </w:t>
      </w:r>
      <w:r w:rsidR="001C6863">
        <w:t xml:space="preserve">an obligation under Section A shall be </w:t>
      </w:r>
      <w:r w:rsidR="005E5F57" w:rsidRPr="00380398">
        <w:t>decide</w:t>
      </w:r>
      <w:r w:rsidR="001C6863">
        <w:t>d</w:t>
      </w:r>
      <w:r w:rsidR="005E5F57" w:rsidRPr="00380398">
        <w:t xml:space="preserve"> in accordance with </w:t>
      </w:r>
      <w:r w:rsidR="001C6863">
        <w:t>“</w:t>
      </w:r>
      <w:r w:rsidR="005E5F57" w:rsidRPr="00380398">
        <w:t>this Agreement and applicable rules of international law</w:t>
      </w:r>
      <w:r w:rsidR="001C6863">
        <w:t>”</w:t>
      </w:r>
      <w:r w:rsidR="005E5F57" w:rsidRPr="00380398">
        <w:t>.</w:t>
      </w:r>
      <w:r w:rsidR="001C6863">
        <w:t xml:space="preserve"> </w:t>
      </w:r>
      <w:r w:rsidR="00790B88">
        <w:t xml:space="preserve">However, </w:t>
      </w:r>
      <w:r w:rsidR="00F128EF">
        <w:t xml:space="preserve">by virtue of Article 11.22(2), </w:t>
      </w:r>
      <w:r w:rsidR="00790B88">
        <w:t xml:space="preserve">claims in relation to </w:t>
      </w:r>
      <w:r w:rsidR="00F8787E">
        <w:t xml:space="preserve">breach of an investment authorization or </w:t>
      </w:r>
      <w:r w:rsidR="009A73AC">
        <w:t xml:space="preserve">an </w:t>
      </w:r>
      <w:r w:rsidR="00F8787E">
        <w:t xml:space="preserve">investment </w:t>
      </w:r>
      <w:r w:rsidR="00C0716D">
        <w:t>agreement are to be decided by the application of:</w:t>
      </w:r>
    </w:p>
    <w:p w14:paraId="0693D388" w14:textId="00239194" w:rsidR="005E5F57" w:rsidRDefault="00C0716D" w:rsidP="00130DB4">
      <w:pPr>
        <w:pStyle w:val="ParaLevel1"/>
        <w:numPr>
          <w:ilvl w:val="0"/>
          <w:numId w:val="0"/>
        </w:numPr>
        <w:ind w:left="1418" w:right="851"/>
      </w:pPr>
      <w:r>
        <w:t>“</w:t>
      </w:r>
      <w:r w:rsidR="005E5F57">
        <w:t>(a)</w:t>
      </w:r>
      <w:r w:rsidR="005E5F57">
        <w:tab/>
      </w:r>
      <w:r w:rsidR="005E5F57" w:rsidRPr="00380398">
        <w:t xml:space="preserve">the rules of law specified in the pertinent investment authorization or investment agreement, or as the disputing parties may otherwise agree; or </w:t>
      </w:r>
    </w:p>
    <w:p w14:paraId="16A6F9EF" w14:textId="77777777" w:rsidR="005E5F57" w:rsidRDefault="005E5F57" w:rsidP="00130DB4">
      <w:pPr>
        <w:pStyle w:val="ParaLevel1"/>
        <w:numPr>
          <w:ilvl w:val="0"/>
          <w:numId w:val="0"/>
        </w:numPr>
        <w:ind w:left="1418" w:right="851"/>
      </w:pPr>
      <w:r w:rsidRPr="00380398">
        <w:t xml:space="preserve">(b) </w:t>
      </w:r>
      <w:r>
        <w:tab/>
      </w:r>
      <w:r w:rsidRPr="00380398">
        <w:t xml:space="preserve">if the rules of law have not been specified or otherwise agreed, </w:t>
      </w:r>
    </w:p>
    <w:p w14:paraId="0863AC70" w14:textId="77777777" w:rsidR="005E5F57" w:rsidRDefault="005E5F57" w:rsidP="00130DB4">
      <w:pPr>
        <w:pStyle w:val="ParaLevel1"/>
        <w:numPr>
          <w:ilvl w:val="0"/>
          <w:numId w:val="0"/>
        </w:numPr>
        <w:ind w:left="1701" w:right="851"/>
      </w:pPr>
      <w:r w:rsidRPr="00380398">
        <w:lastRenderedPageBreak/>
        <w:t xml:space="preserve">(i) </w:t>
      </w:r>
      <w:r>
        <w:tab/>
      </w:r>
      <w:r w:rsidRPr="00380398">
        <w:t xml:space="preserve">the law of the respondent, including its rules on the conflict of laws; and </w:t>
      </w:r>
    </w:p>
    <w:p w14:paraId="54EAFAE1" w14:textId="2B92D83D" w:rsidR="005E5F57" w:rsidRDefault="005E5F57" w:rsidP="00130DB4">
      <w:pPr>
        <w:pStyle w:val="ParaLevel1"/>
        <w:numPr>
          <w:ilvl w:val="0"/>
          <w:numId w:val="0"/>
        </w:numPr>
        <w:spacing w:after="480"/>
        <w:ind w:left="1701" w:right="851"/>
      </w:pPr>
      <w:r w:rsidRPr="00380398">
        <w:t xml:space="preserve">(ii) </w:t>
      </w:r>
      <w:r>
        <w:tab/>
      </w:r>
      <w:r w:rsidRPr="00380398">
        <w:t>such rules of international law as may be applicable.</w:t>
      </w:r>
      <w:r w:rsidR="000F6576">
        <w:t>”</w:t>
      </w:r>
      <w:r w:rsidRPr="00380398">
        <w:t xml:space="preserve"> </w:t>
      </w:r>
    </w:p>
    <w:p w14:paraId="000D5933" w14:textId="3EE6A80E" w:rsidR="004202CC" w:rsidRDefault="004A0B28" w:rsidP="00130DB4">
      <w:pPr>
        <w:pStyle w:val="ParaLevel1"/>
      </w:pPr>
      <w:r>
        <w:t>Section C of Chapter 11</w:t>
      </w:r>
      <w:r w:rsidR="009C6E58">
        <w:t>, co</w:t>
      </w:r>
      <w:r w:rsidR="00936734">
        <w:t xml:space="preserve">nsisting solely of </w:t>
      </w:r>
      <w:r w:rsidR="009C6E58">
        <w:t>Article 11.28,</w:t>
      </w:r>
      <w:r>
        <w:t xml:space="preserve"> </w:t>
      </w:r>
      <w:r w:rsidR="009C6E58">
        <w:t>contains defin</w:t>
      </w:r>
      <w:r w:rsidR="004202CC">
        <w:t>i</w:t>
      </w:r>
      <w:r w:rsidR="009C6E58">
        <w:t>tions</w:t>
      </w:r>
      <w:r w:rsidR="004202CC">
        <w:t xml:space="preserve"> </w:t>
      </w:r>
      <w:r w:rsidR="006E1AEF">
        <w:t xml:space="preserve">for the purposes of that chapter, </w:t>
      </w:r>
      <w:r w:rsidR="004202CC">
        <w:t>including the following:</w:t>
      </w:r>
    </w:p>
    <w:p w14:paraId="060791A9" w14:textId="416BC177" w:rsidR="00F35476" w:rsidRDefault="004202CC" w:rsidP="00130DB4">
      <w:pPr>
        <w:pStyle w:val="ParaLevel1"/>
        <w:numPr>
          <w:ilvl w:val="0"/>
          <w:numId w:val="0"/>
        </w:numPr>
        <w:ind w:left="1418" w:right="851"/>
      </w:pPr>
      <w:r>
        <w:t>“</w:t>
      </w:r>
      <w:proofErr w:type="gramStart"/>
      <w:r w:rsidR="00F35476">
        <w:rPr>
          <w:b/>
          <w:bCs/>
        </w:rPr>
        <w:t>claimant</w:t>
      </w:r>
      <w:proofErr w:type="gramEnd"/>
      <w:r w:rsidR="00F35476">
        <w:t xml:space="preserve"> means an investor of a Party that is a party to an investment dispute with the other </w:t>
      </w:r>
      <w:proofErr w:type="gramStart"/>
      <w:r w:rsidR="00F35476">
        <w:t>Party;</w:t>
      </w:r>
      <w:proofErr w:type="gramEnd"/>
    </w:p>
    <w:p w14:paraId="0E0C6478" w14:textId="347BD043" w:rsidR="00F35476" w:rsidRDefault="00F35476" w:rsidP="00130DB4">
      <w:pPr>
        <w:pStyle w:val="ParaLevel1"/>
        <w:numPr>
          <w:ilvl w:val="0"/>
          <w:numId w:val="0"/>
        </w:numPr>
        <w:ind w:left="1418" w:right="851"/>
      </w:pPr>
      <w:r>
        <w:rPr>
          <w:b/>
          <w:bCs/>
        </w:rPr>
        <w:t>investment</w:t>
      </w:r>
      <w:r>
        <w:t xml:space="preserve"> means every asset that an investor owns or controls, directly or indirectly, that has the characteristics of an investment, including such characteristics as the commitment of capital or other resources, the expectation of gain or profit, or the assumption of risk. Forms that an investment may take </w:t>
      </w:r>
      <w:r w:rsidR="00E06428">
        <w:t>include</w:t>
      </w:r>
      <w:r w:rsidR="006A0E8D">
        <w:t>…</w:t>
      </w:r>
    </w:p>
    <w:p w14:paraId="0C7710A3" w14:textId="77777777" w:rsidR="00F35476" w:rsidRDefault="00F35476" w:rsidP="00130DB4">
      <w:pPr>
        <w:pStyle w:val="ParaLevel1"/>
        <w:numPr>
          <w:ilvl w:val="0"/>
          <w:numId w:val="0"/>
        </w:numPr>
        <w:ind w:left="1418" w:right="851"/>
      </w:pPr>
      <w:r>
        <w:rPr>
          <w:b/>
          <w:bCs/>
        </w:rPr>
        <w:t>investor of a Party</w:t>
      </w:r>
      <w:r>
        <w:t xml:space="preserve"> means a Party or state enterprise thereof, or a national or an enterprise of a Party, that attempts to make, is making, or has made an investment in the territory of the other Party; provided, however, that a natural person who is a dual national shall be deemed to be exclusively a national of the State of his or her dominant and effective nationality;”</w:t>
      </w:r>
    </w:p>
    <w:p w14:paraId="518F68F4" w14:textId="1E501B46" w:rsidR="00C30D58" w:rsidRDefault="00DB72E3" w:rsidP="00130DB4">
      <w:pPr>
        <w:pStyle w:val="ParaLevel1"/>
        <w:numPr>
          <w:ilvl w:val="0"/>
          <w:numId w:val="0"/>
        </w:numPr>
        <w:ind w:left="720"/>
      </w:pPr>
      <w:r>
        <w:t>“Investment agreement” and “investment authorization” are also defined in Article 11.28. The former covers certain agreements with a national authority in relation to natural resources, services or infrastructure relevant to a covered investment, and the latter is an authori</w:t>
      </w:r>
      <w:r w:rsidR="002A3FF9">
        <w:t>z</w:t>
      </w:r>
      <w:r>
        <w:t>ation granted by the foreign investment authority of a Party in relation to a covered investment or investor of the other Party.</w:t>
      </w:r>
    </w:p>
    <w:p w14:paraId="4EC5E3CD" w14:textId="3767F516" w:rsidR="00F35476" w:rsidRDefault="00907E74" w:rsidP="00130DB4">
      <w:pPr>
        <w:pStyle w:val="ParaLevel1"/>
      </w:pPr>
      <w:r>
        <w:t xml:space="preserve">The definition of covered </w:t>
      </w:r>
      <w:r w:rsidR="00F50693">
        <w:t>i</w:t>
      </w:r>
      <w:r>
        <w:t>nve</w:t>
      </w:r>
      <w:r w:rsidR="00F50693">
        <w:t>s</w:t>
      </w:r>
      <w:r>
        <w:t xml:space="preserve">tment </w:t>
      </w:r>
      <w:r w:rsidR="00F50693">
        <w:t>is to be found in the General Definitions in Article 1.</w:t>
      </w:r>
      <w:r w:rsidR="008A7966">
        <w:t>4</w:t>
      </w:r>
      <w:r w:rsidR="00F46E7F">
        <w:t xml:space="preserve"> as follows:</w:t>
      </w:r>
    </w:p>
    <w:p w14:paraId="3F190B93" w14:textId="2A3227E2" w:rsidR="009974E3" w:rsidRDefault="009974E3" w:rsidP="00130DB4">
      <w:pPr>
        <w:pStyle w:val="ParaLevel1"/>
        <w:numPr>
          <w:ilvl w:val="0"/>
          <w:numId w:val="0"/>
        </w:numPr>
        <w:ind w:left="1418" w:right="851"/>
      </w:pPr>
      <w:r>
        <w:t>“</w:t>
      </w:r>
      <w:proofErr w:type="gramStart"/>
      <w:r>
        <w:rPr>
          <w:b/>
          <w:bCs/>
        </w:rPr>
        <w:t>covered</w:t>
      </w:r>
      <w:proofErr w:type="gramEnd"/>
      <w:r>
        <w:rPr>
          <w:b/>
          <w:bCs/>
        </w:rPr>
        <w:t xml:space="preserve"> investment</w:t>
      </w:r>
      <w:r>
        <w:t xml:space="preserve"> means, with respect </w:t>
      </w:r>
      <w:r w:rsidR="00BB3687">
        <w:t xml:space="preserve">to </w:t>
      </w:r>
      <w:r>
        <w:t xml:space="preserve">a Party, an investment, as defined in Article </w:t>
      </w:r>
      <w:r w:rsidR="00BB3687">
        <w:t>11.</w:t>
      </w:r>
      <w:r>
        <w:t xml:space="preserve">28 (Definitions), in its territory of an investor of the other party that is in existence as of the date of entry into force of this Agreement or established, acquired, or expanded thereafter.” </w:t>
      </w:r>
    </w:p>
    <w:p w14:paraId="4B73C7F3" w14:textId="77777777" w:rsidR="003A61AB" w:rsidRDefault="00177E45" w:rsidP="00130DB4">
      <w:pPr>
        <w:pStyle w:val="ParaLevel1"/>
      </w:pPr>
      <w:r>
        <w:t>The</w:t>
      </w:r>
      <w:r w:rsidR="005C426E">
        <w:t xml:space="preserve"> General Definitions </w:t>
      </w:r>
      <w:r w:rsidR="00F368C2">
        <w:t>also provide that</w:t>
      </w:r>
      <w:r w:rsidR="003A61AB">
        <w:t>:</w:t>
      </w:r>
    </w:p>
    <w:p w14:paraId="0A5EE58B" w14:textId="6130C93D" w:rsidR="009974E3" w:rsidRDefault="00F368C2" w:rsidP="00130DB4">
      <w:pPr>
        <w:pStyle w:val="ParaLevel1"/>
        <w:numPr>
          <w:ilvl w:val="0"/>
          <w:numId w:val="0"/>
        </w:numPr>
        <w:ind w:left="1418" w:right="851"/>
      </w:pPr>
      <w:r>
        <w:t>“</w:t>
      </w:r>
      <w:proofErr w:type="gramStart"/>
      <w:r w:rsidRPr="003A61AB">
        <w:rPr>
          <w:b/>
          <w:bCs/>
        </w:rPr>
        <w:t>measure</w:t>
      </w:r>
      <w:proofErr w:type="gramEnd"/>
      <w:r w:rsidR="003A61AB">
        <w:t xml:space="preserve"> includes any law, regulation, procedure, requirement or practice</w:t>
      </w:r>
      <w:r w:rsidR="00DE253F">
        <w:t>.</w:t>
      </w:r>
      <w:r w:rsidR="003A61AB">
        <w:t>”</w:t>
      </w:r>
    </w:p>
    <w:p w14:paraId="7A5DB735" w14:textId="2D618A3D" w:rsidR="00000AA4" w:rsidRPr="002D5288" w:rsidRDefault="002D5288" w:rsidP="00130DB4">
      <w:pPr>
        <w:pStyle w:val="ParaLevel1"/>
        <w:numPr>
          <w:ilvl w:val="0"/>
          <w:numId w:val="0"/>
        </w:numPr>
        <w:ind w:left="720" w:hanging="720"/>
        <w:rPr>
          <w:b/>
          <w:bCs/>
        </w:rPr>
      </w:pPr>
      <w:r w:rsidRPr="002D5288">
        <w:rPr>
          <w:b/>
          <w:bCs/>
        </w:rPr>
        <w:t>The judgment</w:t>
      </w:r>
    </w:p>
    <w:p w14:paraId="329F1813" w14:textId="624F1F76" w:rsidR="004E770E" w:rsidRDefault="00EC7CD8" w:rsidP="00130DB4">
      <w:pPr>
        <w:pStyle w:val="ParaLevel1"/>
      </w:pPr>
      <w:r>
        <w:t xml:space="preserve">The Judge’s judgment </w:t>
      </w:r>
      <w:r w:rsidR="0085497B">
        <w:t xml:space="preserve">set out the </w:t>
      </w:r>
      <w:r w:rsidR="009C31FD">
        <w:t xml:space="preserve">issues and arguments fully and his decision </w:t>
      </w:r>
      <w:r w:rsidR="00A22A9A">
        <w:t>was</w:t>
      </w:r>
      <w:r w:rsidR="009C31FD">
        <w:t xml:space="preserve"> </w:t>
      </w:r>
      <w:r w:rsidR="0085497B">
        <w:t xml:space="preserve">carefully and closely reasoned. For that </w:t>
      </w:r>
      <w:proofErr w:type="gramStart"/>
      <w:r w:rsidR="009C31FD">
        <w:t>reason</w:t>
      </w:r>
      <w:proofErr w:type="gramEnd"/>
      <w:r w:rsidR="009C31FD">
        <w:t xml:space="preserve"> it is both necessary and helpful to </w:t>
      </w:r>
      <w:r w:rsidR="002B48A1">
        <w:t xml:space="preserve">provide a </w:t>
      </w:r>
      <w:r w:rsidR="002960B8">
        <w:t>fuller account of it than is usually require</w:t>
      </w:r>
      <w:r w:rsidR="009A73AC">
        <w:t>d</w:t>
      </w:r>
      <w:r w:rsidR="00F303A1">
        <w:t xml:space="preserve"> on an appeal principally concerned with an issue of interpretation</w:t>
      </w:r>
      <w:r w:rsidR="002960B8">
        <w:t>.</w:t>
      </w:r>
      <w:r w:rsidR="002B48A1">
        <w:t xml:space="preserve"> </w:t>
      </w:r>
      <w:r w:rsidR="004E770E">
        <w:t xml:space="preserve"> </w:t>
      </w:r>
    </w:p>
    <w:p w14:paraId="769A9987" w14:textId="36C197A3" w:rsidR="00334AB4" w:rsidRDefault="00A65AC3" w:rsidP="00130DB4">
      <w:pPr>
        <w:pStyle w:val="ParaLevel1"/>
      </w:pPr>
      <w:r>
        <w:lastRenderedPageBreak/>
        <w:t xml:space="preserve">The Judge </w:t>
      </w:r>
      <w:r w:rsidR="008E738E">
        <w:t xml:space="preserve">noted </w:t>
      </w:r>
      <w:r w:rsidR="00334AB4">
        <w:t xml:space="preserve">at [17] </w:t>
      </w:r>
      <w:r w:rsidR="008E738E">
        <w:t xml:space="preserve">that it was common ground that the KORUS FTA was to be </w:t>
      </w:r>
      <w:r w:rsidR="00286B61">
        <w:t xml:space="preserve">interpreted in accordance with the principles set out in the Vienna Convention </w:t>
      </w:r>
      <w:r w:rsidR="005449BB">
        <w:t>on the Law of Treaties 1969</w:t>
      </w:r>
      <w:r w:rsidR="00874FB7">
        <w:t xml:space="preserve"> (“the VCLT”)</w:t>
      </w:r>
      <w:r w:rsidR="003E7BBC">
        <w:t xml:space="preserve">. He </w:t>
      </w:r>
      <w:r w:rsidR="000D2DEF">
        <w:t>s</w:t>
      </w:r>
      <w:r w:rsidR="003E7BBC">
        <w:t>ummarise</w:t>
      </w:r>
      <w:r w:rsidR="000D2DEF">
        <w:t>d</w:t>
      </w:r>
      <w:r w:rsidR="003E7BBC">
        <w:t xml:space="preserve"> the relevant provisions as follows</w:t>
      </w:r>
      <w:r w:rsidR="008926E9">
        <w:t>:</w:t>
      </w:r>
      <w:r w:rsidR="00334AB4">
        <w:t xml:space="preserve"> </w:t>
      </w:r>
    </w:p>
    <w:p w14:paraId="3283A9A0" w14:textId="77777777" w:rsidR="00B7497E" w:rsidRDefault="00334AB4" w:rsidP="00130DB4">
      <w:pPr>
        <w:pStyle w:val="ParaLevel1"/>
        <w:numPr>
          <w:ilvl w:val="0"/>
          <w:numId w:val="0"/>
        </w:numPr>
        <w:ind w:left="1418" w:right="851"/>
      </w:pPr>
      <w:r>
        <w:t>“18. Article 31 of the VCLT, which reflects customary international law, provides:</w:t>
      </w:r>
    </w:p>
    <w:p w14:paraId="57C95B71" w14:textId="77777777" w:rsidR="00FF0507" w:rsidRDefault="00334AB4" w:rsidP="00130DB4">
      <w:pPr>
        <w:pStyle w:val="ParaLevel1"/>
        <w:numPr>
          <w:ilvl w:val="0"/>
          <w:numId w:val="0"/>
        </w:numPr>
        <w:ind w:left="1701" w:right="1134"/>
      </w:pPr>
      <w:r>
        <w:t>“1. A treaty shall be interpreted in good faith in accordance with the ordinary meaning to be given to the terms of the treaty in their context and in the light of its object and purpose.</w:t>
      </w:r>
    </w:p>
    <w:p w14:paraId="5B14D635" w14:textId="77777777" w:rsidR="00FF0507" w:rsidRDefault="00334AB4" w:rsidP="00130DB4">
      <w:pPr>
        <w:pStyle w:val="ParaLevel1"/>
        <w:numPr>
          <w:ilvl w:val="0"/>
          <w:numId w:val="0"/>
        </w:numPr>
        <w:ind w:left="1701" w:right="1134"/>
      </w:pPr>
      <w:r>
        <w:t xml:space="preserve"> 2. The context for the purpose of the interpretation of a treaty shall comprise, in addition to the text, including its preamble and annexes:</w:t>
      </w:r>
    </w:p>
    <w:p w14:paraId="0E06E027" w14:textId="77777777" w:rsidR="00FF0507" w:rsidRDefault="00334AB4" w:rsidP="00130DB4">
      <w:pPr>
        <w:pStyle w:val="ParaLevel1"/>
        <w:numPr>
          <w:ilvl w:val="0"/>
          <w:numId w:val="0"/>
        </w:numPr>
        <w:ind w:left="1701" w:right="1134"/>
      </w:pPr>
      <w:r>
        <w:t xml:space="preserve">(a) any agreement relating to the treaty which was made between all the parties in connection with the conclusion of the </w:t>
      </w:r>
      <w:proofErr w:type="gramStart"/>
      <w:r>
        <w:t>treaty;</w:t>
      </w:r>
      <w:proofErr w:type="gramEnd"/>
    </w:p>
    <w:p w14:paraId="66670057" w14:textId="77777777" w:rsidR="00FF0507" w:rsidRDefault="00334AB4" w:rsidP="00130DB4">
      <w:pPr>
        <w:pStyle w:val="ParaLevel1"/>
        <w:numPr>
          <w:ilvl w:val="0"/>
          <w:numId w:val="0"/>
        </w:numPr>
        <w:ind w:left="1701" w:right="1134"/>
      </w:pPr>
      <w:r>
        <w:t xml:space="preserve">(b) any instrument which was made by one or more parties in connection with the conclusion of the treaty and accepted by the other parties as an instrument related to the treaty. </w:t>
      </w:r>
    </w:p>
    <w:p w14:paraId="3D4A1BC2" w14:textId="77777777" w:rsidR="00FF0507" w:rsidRDefault="00334AB4" w:rsidP="00130DB4">
      <w:pPr>
        <w:pStyle w:val="ParaLevel1"/>
        <w:numPr>
          <w:ilvl w:val="0"/>
          <w:numId w:val="0"/>
        </w:numPr>
        <w:ind w:left="1701" w:right="1134"/>
      </w:pPr>
      <w:r>
        <w:t xml:space="preserve">3. There shall be </w:t>
      </w:r>
      <w:proofErr w:type="gramStart"/>
      <w:r>
        <w:t>taken into account</w:t>
      </w:r>
      <w:proofErr w:type="gramEnd"/>
      <w:r>
        <w:t xml:space="preserve">, together with the context: </w:t>
      </w:r>
    </w:p>
    <w:p w14:paraId="2CCA607A" w14:textId="77777777" w:rsidR="00FF0507" w:rsidRDefault="00334AB4" w:rsidP="00130DB4">
      <w:pPr>
        <w:pStyle w:val="ParaLevel1"/>
        <w:numPr>
          <w:ilvl w:val="0"/>
          <w:numId w:val="0"/>
        </w:numPr>
        <w:ind w:left="1701" w:right="1134"/>
      </w:pPr>
      <w:r>
        <w:t xml:space="preserve">(a) any subsequent agreement between the parties regarding the interpretation of the treaty or the application of its </w:t>
      </w:r>
      <w:proofErr w:type="gramStart"/>
      <w:r>
        <w:t>provisions;</w:t>
      </w:r>
      <w:proofErr w:type="gramEnd"/>
      <w:r>
        <w:t xml:space="preserve"> </w:t>
      </w:r>
    </w:p>
    <w:p w14:paraId="4816F1DC" w14:textId="77777777" w:rsidR="00FF0507" w:rsidRDefault="00334AB4" w:rsidP="00130DB4">
      <w:pPr>
        <w:pStyle w:val="ParaLevel1"/>
        <w:numPr>
          <w:ilvl w:val="0"/>
          <w:numId w:val="0"/>
        </w:numPr>
        <w:ind w:left="1701" w:right="1134"/>
      </w:pPr>
      <w:r>
        <w:t xml:space="preserve">(b) any subsequent practice in the application of the treaty which establishes the agreement of the parties regarding its </w:t>
      </w:r>
      <w:proofErr w:type="gramStart"/>
      <w:r>
        <w:t>interpretation;</w:t>
      </w:r>
      <w:proofErr w:type="gramEnd"/>
      <w:r>
        <w:t xml:space="preserve"> </w:t>
      </w:r>
    </w:p>
    <w:p w14:paraId="21212C60" w14:textId="77777777" w:rsidR="00FF0507" w:rsidRDefault="00334AB4" w:rsidP="00130DB4">
      <w:pPr>
        <w:pStyle w:val="ParaLevel1"/>
        <w:numPr>
          <w:ilvl w:val="0"/>
          <w:numId w:val="0"/>
        </w:numPr>
        <w:ind w:left="1701" w:right="1134"/>
      </w:pPr>
      <w:r>
        <w:t xml:space="preserve">(c) any relevant rules of international law applicable in the relations between the parties.” </w:t>
      </w:r>
    </w:p>
    <w:p w14:paraId="50E773E6" w14:textId="77777777" w:rsidR="00FF0507" w:rsidRDefault="00334AB4" w:rsidP="00130DB4">
      <w:pPr>
        <w:pStyle w:val="ParaLevel1"/>
        <w:numPr>
          <w:ilvl w:val="0"/>
          <w:numId w:val="0"/>
        </w:numPr>
        <w:ind w:left="1418" w:right="851"/>
      </w:pPr>
      <w:r>
        <w:t>19. Article 32 of the VCLT establishes when recourse can be had to “supplementary means” of interpretation:</w:t>
      </w:r>
    </w:p>
    <w:p w14:paraId="0059903B" w14:textId="77777777" w:rsidR="00CD7444" w:rsidRDefault="00334AB4" w:rsidP="00130DB4">
      <w:pPr>
        <w:pStyle w:val="ParaLevel1"/>
        <w:numPr>
          <w:ilvl w:val="0"/>
          <w:numId w:val="0"/>
        </w:numPr>
        <w:ind w:left="1701" w:right="1134"/>
      </w:pPr>
      <w:r>
        <w:t xml:space="preserve">“Recourse may be had to supplementary means of interpretation, including the preparatory work of the treaty and the circumstances of its conclusion, </w:t>
      </w:r>
      <w:proofErr w:type="gramStart"/>
      <w:r>
        <w:t>in order to</w:t>
      </w:r>
      <w:proofErr w:type="gramEnd"/>
      <w:r>
        <w:t xml:space="preserve"> confirm the meaning resulting from the application of article 31, or to determine the meaning when the interpretation according to article 31: </w:t>
      </w:r>
    </w:p>
    <w:p w14:paraId="7874A196" w14:textId="77777777" w:rsidR="00CD7444" w:rsidRDefault="00334AB4" w:rsidP="00130DB4">
      <w:pPr>
        <w:pStyle w:val="ParaLevel1"/>
        <w:numPr>
          <w:ilvl w:val="0"/>
          <w:numId w:val="0"/>
        </w:numPr>
        <w:ind w:left="1701" w:right="1134"/>
      </w:pPr>
      <w:r>
        <w:t xml:space="preserve">(a) leaves the meaning ambiguous or obscure; or </w:t>
      </w:r>
    </w:p>
    <w:p w14:paraId="695842C2" w14:textId="284413C2" w:rsidR="000D7EA6" w:rsidRDefault="00334AB4" w:rsidP="00130DB4">
      <w:pPr>
        <w:pStyle w:val="ParaLevel1"/>
        <w:numPr>
          <w:ilvl w:val="0"/>
          <w:numId w:val="0"/>
        </w:numPr>
        <w:ind w:left="1701" w:right="1134"/>
      </w:pPr>
      <w:r>
        <w:t>(b) leads to a result which is manifestly absurd or unreasonable.”</w:t>
      </w:r>
      <w:r w:rsidR="00BE2DF2">
        <w:t>”</w:t>
      </w:r>
    </w:p>
    <w:p w14:paraId="637E7E66" w14:textId="2B3DFBAC" w:rsidR="00582E6B" w:rsidRDefault="00603C67" w:rsidP="00130DB4">
      <w:pPr>
        <w:pStyle w:val="ParaLevel1"/>
      </w:pPr>
      <w:r>
        <w:t>At [22</w:t>
      </w:r>
      <w:r w:rsidR="00206A0C">
        <w:t>]</w:t>
      </w:r>
      <w:r w:rsidR="000633E2">
        <w:t>-</w:t>
      </w:r>
      <w:r w:rsidR="00206A0C">
        <w:t>[</w:t>
      </w:r>
      <w:r w:rsidR="000633E2">
        <w:t>23</w:t>
      </w:r>
      <w:r>
        <w:t>] t</w:t>
      </w:r>
      <w:r w:rsidR="009C2C20">
        <w:t xml:space="preserve">he Judge rejected the suggestion that </w:t>
      </w:r>
      <w:r w:rsidR="004E33C0">
        <w:t xml:space="preserve">jurisdictional provisions in investment treaties are to be </w:t>
      </w:r>
      <w:r w:rsidR="003425C1">
        <w:t xml:space="preserve">interpreted </w:t>
      </w:r>
      <w:r w:rsidR="00EE5FD2">
        <w:t xml:space="preserve">narrowly, </w:t>
      </w:r>
      <w:r w:rsidR="00246249">
        <w:t xml:space="preserve">following the </w:t>
      </w:r>
      <w:r w:rsidR="004E618D">
        <w:t xml:space="preserve">view of the Singapore Court of Appeal in </w:t>
      </w:r>
      <w:r w:rsidR="0006753A">
        <w:rPr>
          <w:i/>
          <w:iCs/>
        </w:rPr>
        <w:t>Swissbourgh v Lesotho</w:t>
      </w:r>
      <w:r w:rsidR="0006753A">
        <w:t xml:space="preserve"> [2018] SGCA 81</w:t>
      </w:r>
      <w:r w:rsidR="00DA7F28">
        <w:t xml:space="preserve"> </w:t>
      </w:r>
      <w:r w:rsidR="007F7209">
        <w:t>at [61]-[</w:t>
      </w:r>
      <w:r>
        <w:t xml:space="preserve">63] </w:t>
      </w:r>
      <w:r w:rsidR="007F7209">
        <w:t xml:space="preserve">that </w:t>
      </w:r>
      <w:r w:rsidR="0056470F">
        <w:t xml:space="preserve">they are to be interpreted neither liberally (i.e. </w:t>
      </w:r>
      <w:r w:rsidR="000633E2">
        <w:t>pro-investor) nor restrictively (i.e. pro</w:t>
      </w:r>
      <w:r w:rsidR="00A62D07">
        <w:t>-</w:t>
      </w:r>
      <w:r w:rsidR="000633E2">
        <w:t>State)</w:t>
      </w:r>
      <w:r w:rsidR="00206A0C">
        <w:t xml:space="preserve">. The Judge regarded that approach as </w:t>
      </w:r>
      <w:r w:rsidR="007906B4">
        <w:t xml:space="preserve">consistent with the VCLT and even-handed.  </w:t>
      </w:r>
      <w:r w:rsidR="000633E2">
        <w:t xml:space="preserve"> </w:t>
      </w:r>
      <w:r w:rsidR="0056470F">
        <w:t xml:space="preserve"> </w:t>
      </w:r>
    </w:p>
    <w:p w14:paraId="2814E007" w14:textId="686416AA" w:rsidR="00D667F2" w:rsidRDefault="00A317AF" w:rsidP="00130DB4">
      <w:pPr>
        <w:pStyle w:val="ParaLevel1"/>
      </w:pPr>
      <w:r>
        <w:lastRenderedPageBreak/>
        <w:t xml:space="preserve">The Judge </w:t>
      </w:r>
      <w:r w:rsidR="00874FB7">
        <w:t xml:space="preserve">next </w:t>
      </w:r>
      <w:r w:rsidR="00925AD9">
        <w:t xml:space="preserve">explained </w:t>
      </w:r>
      <w:r w:rsidR="00D667F2">
        <w:t>the “</w:t>
      </w:r>
      <w:r w:rsidR="00642899">
        <w:t>threshold question</w:t>
      </w:r>
      <w:r w:rsidR="00D667F2">
        <w:t>”</w:t>
      </w:r>
      <w:r w:rsidR="00925AD9">
        <w:t xml:space="preserve"> </w:t>
      </w:r>
      <w:r w:rsidR="00642899">
        <w:t xml:space="preserve">as to whether the Award was </w:t>
      </w:r>
      <w:r w:rsidR="00D667F2">
        <w:t>amenable to challenge under s</w:t>
      </w:r>
      <w:r w:rsidR="00A62D07">
        <w:t xml:space="preserve">ection </w:t>
      </w:r>
      <w:r w:rsidR="00D667F2">
        <w:t>67 of the 1996 Act as follows:</w:t>
      </w:r>
    </w:p>
    <w:p w14:paraId="517BE944" w14:textId="77777777" w:rsidR="00D667F2" w:rsidRDefault="00D667F2" w:rsidP="00130DB4">
      <w:pPr>
        <w:pStyle w:val="ParaLevel1"/>
        <w:numPr>
          <w:ilvl w:val="0"/>
          <w:numId w:val="0"/>
        </w:numPr>
        <w:ind w:left="1418" w:right="851"/>
      </w:pPr>
      <w:r>
        <w:t xml:space="preserve">“24. Section 67 of the 1996 Act provides a means of challenging any award of an arbitral tribunal seated in England and Wales “as to its substantive jurisdiction”, or to seek an order declaring that an award of a tribunal on the merits is of no effect “in whole or in part because the tribunal did not have substantive jurisdiction”. Such a challenge has been held to involve a de novo hearing rather than simply a review of the arbitral tribunal’s decision of the kind which the Court of Appeal might undertake of a first instance judgment. </w:t>
      </w:r>
    </w:p>
    <w:p w14:paraId="259879B1" w14:textId="77777777" w:rsidR="00DD296D" w:rsidRDefault="00D667F2" w:rsidP="00130DB4">
      <w:pPr>
        <w:pStyle w:val="ParaLevel1"/>
        <w:numPr>
          <w:ilvl w:val="0"/>
          <w:numId w:val="0"/>
        </w:numPr>
        <w:ind w:left="1418" w:right="851"/>
      </w:pPr>
      <w:r>
        <w:t>25. The concept of “substantive jurisdiction” has been held to be defined for the purposes of s.67 by s.30 of the 1996 Act, which, when recognising the power of the tribunal to rule on its substantive jurisdiction, defines that concept as embracing:</w:t>
      </w:r>
    </w:p>
    <w:p w14:paraId="6838BB67" w14:textId="77777777" w:rsidR="00DD296D" w:rsidRDefault="00D667F2" w:rsidP="00130DB4">
      <w:pPr>
        <w:pStyle w:val="ParaLevel1"/>
        <w:numPr>
          <w:ilvl w:val="0"/>
          <w:numId w:val="0"/>
        </w:numPr>
        <w:ind w:left="1418" w:right="851"/>
      </w:pPr>
      <w:r>
        <w:t>i) “whether there is a valid arbitration agreement</w:t>
      </w:r>
      <w:proofErr w:type="gramStart"/>
      <w:r>
        <w:t>”;</w:t>
      </w:r>
      <w:proofErr w:type="gramEnd"/>
      <w:r>
        <w:t xml:space="preserve"> </w:t>
      </w:r>
    </w:p>
    <w:p w14:paraId="66900252" w14:textId="77777777" w:rsidR="00DD296D" w:rsidRDefault="00D667F2" w:rsidP="00130DB4">
      <w:pPr>
        <w:pStyle w:val="ParaLevel1"/>
        <w:numPr>
          <w:ilvl w:val="0"/>
          <w:numId w:val="0"/>
        </w:numPr>
        <w:ind w:left="1418" w:right="851"/>
      </w:pPr>
      <w:r>
        <w:t xml:space="preserve">ii) “whether a tribunal is properly constituted”; and </w:t>
      </w:r>
    </w:p>
    <w:p w14:paraId="0AC6D8D2" w14:textId="77777777" w:rsidR="00DD296D" w:rsidRDefault="00D667F2" w:rsidP="00130DB4">
      <w:pPr>
        <w:pStyle w:val="ParaLevel1"/>
        <w:numPr>
          <w:ilvl w:val="0"/>
          <w:numId w:val="0"/>
        </w:numPr>
        <w:ind w:left="1418" w:right="851"/>
      </w:pPr>
      <w:r>
        <w:t xml:space="preserve">iii) “what matters have been submitted to arbitration in accordance with the arbitration agreement”. </w:t>
      </w:r>
    </w:p>
    <w:p w14:paraId="2CC67C97" w14:textId="3DB60411" w:rsidR="00D667F2" w:rsidRDefault="00D667F2" w:rsidP="00130DB4">
      <w:pPr>
        <w:pStyle w:val="ParaLevel1"/>
        <w:numPr>
          <w:ilvl w:val="0"/>
          <w:numId w:val="0"/>
        </w:numPr>
        <w:ind w:left="1418" w:right="851"/>
      </w:pPr>
      <w:r>
        <w:t xml:space="preserve">(see </w:t>
      </w:r>
      <w:r w:rsidRPr="00824A4D">
        <w:rPr>
          <w:i/>
          <w:iCs/>
        </w:rPr>
        <w:t>Czech Republic v Diag Human SE and Mr Stava</w:t>
      </w:r>
      <w:r>
        <w:t xml:space="preserve"> [2024] EWHC 503 (Comm), [131] – “</w:t>
      </w:r>
      <w:r w:rsidRPr="00824A4D">
        <w:rPr>
          <w:i/>
          <w:iCs/>
        </w:rPr>
        <w:t>Diag</w:t>
      </w:r>
      <w:r>
        <w:t xml:space="preserve">”). </w:t>
      </w:r>
    </w:p>
    <w:p w14:paraId="09443D8C" w14:textId="0086AFDF" w:rsidR="00F54517" w:rsidRDefault="00D667F2" w:rsidP="00130DB4">
      <w:pPr>
        <w:pStyle w:val="ParaLevel1"/>
        <w:numPr>
          <w:ilvl w:val="0"/>
          <w:numId w:val="0"/>
        </w:numPr>
        <w:ind w:left="1418" w:right="851"/>
      </w:pPr>
      <w:r>
        <w:t xml:space="preserve">26. The threshold question which arises is whether the three issues raised by Korea are properly categorised as raising issues as to the tribunal’s jurisdiction for s.67 purposes. Unless that decision is resolved in Korea’s favour, its s.67 challenge must fail. For that </w:t>
      </w:r>
      <w:proofErr w:type="gramStart"/>
      <w:r>
        <w:t>reason</w:t>
      </w:r>
      <w:proofErr w:type="gramEnd"/>
      <w:r>
        <w:t xml:space="preserve"> I heard this issue as a preliminary issue at the hearing.” </w:t>
      </w:r>
      <w:r w:rsidR="00642899">
        <w:t xml:space="preserve"> </w:t>
      </w:r>
    </w:p>
    <w:p w14:paraId="4A81DCBD" w14:textId="526B02C6" w:rsidR="007E374B" w:rsidRDefault="0058035D" w:rsidP="00130DB4">
      <w:pPr>
        <w:pStyle w:val="ParaLevel1"/>
      </w:pPr>
      <w:r>
        <w:t xml:space="preserve">The Judge recognised </w:t>
      </w:r>
      <w:r w:rsidR="008E7337">
        <w:t xml:space="preserve">at [28] </w:t>
      </w:r>
      <w:r>
        <w:t xml:space="preserve">that </w:t>
      </w:r>
      <w:r w:rsidR="008E7337">
        <w:t xml:space="preserve">it was common ground before the </w:t>
      </w:r>
      <w:r>
        <w:t>Tri</w:t>
      </w:r>
      <w:r w:rsidR="00017B4D">
        <w:t>b</w:t>
      </w:r>
      <w:r>
        <w:t xml:space="preserve">unal </w:t>
      </w:r>
      <w:r w:rsidR="008E7337">
        <w:t xml:space="preserve">that </w:t>
      </w:r>
      <w:r>
        <w:t xml:space="preserve">the </w:t>
      </w:r>
      <w:r w:rsidR="00017B4D">
        <w:t>objections raised by Korea</w:t>
      </w:r>
      <w:r w:rsidR="00A223F5">
        <w:t xml:space="preserve">, if valid, </w:t>
      </w:r>
      <w:r w:rsidR="008E7337">
        <w:t>would deprive the Trib</w:t>
      </w:r>
      <w:r w:rsidR="00080CF9">
        <w:t>un</w:t>
      </w:r>
      <w:r w:rsidR="008E7337">
        <w:t>al of jurisdiction to</w:t>
      </w:r>
      <w:r w:rsidR="00080CF9">
        <w:t xml:space="preserve"> adjudicate on the merits of the dispute. He went on to say</w:t>
      </w:r>
      <w:r w:rsidR="007E374B">
        <w:t>:</w:t>
      </w:r>
    </w:p>
    <w:p w14:paraId="0D34C2DE" w14:textId="3B3DCABC" w:rsidR="00F54517" w:rsidRDefault="007E374B" w:rsidP="00130DB4">
      <w:pPr>
        <w:pStyle w:val="ParaLevel1"/>
        <w:numPr>
          <w:ilvl w:val="0"/>
          <w:numId w:val="0"/>
        </w:numPr>
        <w:ind w:left="1418" w:right="851"/>
      </w:pPr>
      <w:r>
        <w:t>“</w:t>
      </w:r>
      <w:r w:rsidR="006B4043">
        <w:t>However, it would be wrong to assume that the dividing line between issues of jurisdiction and the merits is drawn at the same point before an investor-state tribunal applying international law as it is before an English court applying an English statute. In particular, the most significant feature of establishing a s.30 issue of substantive jurisdiction – the ability to re-argue on a de novo basis before a municipal court issues relating to the application of an international law treaty, and to set aside or declare of no effect the determination of an international tribunal – raises distinct issues of national policy for the English court, which are not engaged in a meaningful way before the tribunal</w:t>
      </w:r>
      <w:r w:rsidR="00F422EC">
        <w:t>. To take one example</w:t>
      </w:r>
      <w:r w:rsidR="007C0942">
        <w:t xml:space="preserve">, the significance of distinctions between issues of jurisdiction, standing and admissibility before an investment </w:t>
      </w:r>
      <w:r w:rsidR="00751411">
        <w:t xml:space="preserve">treaty arbitration (“ITA”) tribunal are minimal, and ITA tribunals will </w:t>
      </w:r>
      <w:r w:rsidR="00751411">
        <w:lastRenderedPageBreak/>
        <w:t>often refer to them compendiously. Before a court under s.67 of the 1996 Act</w:t>
      </w:r>
      <w:r w:rsidR="00027363">
        <w:t>,</w:t>
      </w:r>
      <w:r w:rsidR="00751411">
        <w:t xml:space="preserve"> they are everything.”</w:t>
      </w:r>
      <w:r w:rsidR="008E7337">
        <w:t xml:space="preserve"> </w:t>
      </w:r>
      <w:r w:rsidR="00017B4D">
        <w:t xml:space="preserve"> </w:t>
      </w:r>
      <w:r w:rsidR="0058035D">
        <w:t xml:space="preserve"> </w:t>
      </w:r>
    </w:p>
    <w:p w14:paraId="6C964A5F" w14:textId="6F7214D7" w:rsidR="00F54517" w:rsidRDefault="004E6DA7" w:rsidP="00130DB4">
      <w:pPr>
        <w:pStyle w:val="ParaLevel1"/>
      </w:pPr>
      <w:r>
        <w:t xml:space="preserve">From an </w:t>
      </w:r>
      <w:r w:rsidR="003A56A7">
        <w:t>examin</w:t>
      </w:r>
      <w:r>
        <w:t>ation of</w:t>
      </w:r>
      <w:r w:rsidR="003A56A7">
        <w:t xml:space="preserve"> the English case law</w:t>
      </w:r>
      <w:r w:rsidR="00192DA7">
        <w:t xml:space="preserve"> and </w:t>
      </w:r>
      <w:r w:rsidR="000D5F94">
        <w:t xml:space="preserve">of </w:t>
      </w:r>
      <w:r w:rsidR="000D5F94">
        <w:rPr>
          <w:i/>
          <w:iCs/>
        </w:rPr>
        <w:t>Swissbourgh v Lesotho</w:t>
      </w:r>
      <w:r w:rsidR="003A56A7">
        <w:t>,</w:t>
      </w:r>
      <w:r w:rsidR="00192DA7">
        <w:t xml:space="preserve"> </w:t>
      </w:r>
      <w:r>
        <w:t>at [37] the Judge drew the following principles:</w:t>
      </w:r>
    </w:p>
    <w:p w14:paraId="582B6CBC" w14:textId="14F746C9" w:rsidR="00651E34" w:rsidRDefault="00651E34" w:rsidP="00130DB4">
      <w:pPr>
        <w:pStyle w:val="ParaLevel2"/>
        <w:ind w:right="851" w:firstLine="0"/>
      </w:pPr>
      <w:r>
        <w:t xml:space="preserve">Issues which define those to whom the offer to arbitrate is made (which will generally be an offer to “investors”, which in turn is likely to require someone to have made an investment) will be jurisdictional for s.67 purposes, raising a core jurisdictional issue, namely whether the parties have agreed to arbitrate. </w:t>
      </w:r>
    </w:p>
    <w:p w14:paraId="44C16469" w14:textId="77777777" w:rsidR="00281B56" w:rsidRDefault="00651E34" w:rsidP="00130DB4">
      <w:pPr>
        <w:pStyle w:val="ParaLevel2"/>
        <w:ind w:right="851" w:firstLine="0"/>
      </w:pPr>
      <w:r>
        <w:t xml:space="preserve">Similarly, where the scope of the offer to arbitrate is limited to disputes of a particular kind – e.g. “with respect to investments” – the making of an investment and a link between the dispute and the investment are also likely to be jurisdictional, raising another core jurisdictional issue, namely what disputes have the parties agreed to arbitrate. </w:t>
      </w:r>
    </w:p>
    <w:p w14:paraId="67EF2366" w14:textId="7102F455" w:rsidR="00281B56" w:rsidRDefault="00CA6999" w:rsidP="00130DB4">
      <w:pPr>
        <w:pStyle w:val="ParaLevel2"/>
        <w:ind w:right="851" w:firstLine="0"/>
      </w:pPr>
      <w:r>
        <w:t xml:space="preserve"> </w:t>
      </w:r>
      <w:r w:rsidR="00651E34">
        <w:t xml:space="preserve">Where there is no express limitation in the offer to arbitrate (including, for that purpose, those which arise from the use within the offer to arbitrate of defined terms), there is likely to be a greater challenge in persuading the court that the offer to arbitrate is limited beyond its express terms. That simply reflects the application of the VCLT principles of interpretation to the arbitration offer in a treaty. </w:t>
      </w:r>
    </w:p>
    <w:p w14:paraId="60E73406" w14:textId="77777777" w:rsidR="00281B56" w:rsidRDefault="00651E34" w:rsidP="00130DB4">
      <w:pPr>
        <w:pStyle w:val="ParaLevel2"/>
        <w:ind w:right="851" w:firstLine="0"/>
      </w:pPr>
      <w:r>
        <w:t>Where an issue involves the application of protean legal concepts in a highly fact sensitive context, it may be more difficult in the absence of express language in the offer to arbitrate to establish that the issue is jurisdictional in nature. However, if that is the effect of the language used in the treaty when interpreted in accordance with VCLT principles, the complexity or sensitivity of the task is neither here nor there.</w:t>
      </w:r>
    </w:p>
    <w:p w14:paraId="2EF5DEFB" w14:textId="08A1C0E1" w:rsidR="004E6DA7" w:rsidRDefault="00651E34" w:rsidP="00130DB4">
      <w:pPr>
        <w:pStyle w:val="ParaLevel2"/>
        <w:ind w:right="851" w:firstLine="0"/>
      </w:pPr>
      <w:r>
        <w:t xml:space="preserve">Where determination of the issue said to be jurisdictional would require the supervisory court to determine issues which are integral to the merits, that </w:t>
      </w:r>
      <w:proofErr w:type="gramStart"/>
      <w:r>
        <w:t>in itself may</w:t>
      </w:r>
      <w:proofErr w:type="gramEnd"/>
      <w:r>
        <w:t xml:space="preserve"> suggest that the issue is not jurisdictional in the s.30 sense, as this would involve a municipal court and potentially enforcement courts determining issues which are the natural domain of the arbitral tribunal.</w:t>
      </w:r>
      <w:r w:rsidR="00281B56">
        <w:t>”</w:t>
      </w:r>
    </w:p>
    <w:p w14:paraId="7CE69B0A" w14:textId="62C6630E" w:rsidR="00D10F00" w:rsidRDefault="00AD6E31" w:rsidP="00130DB4">
      <w:pPr>
        <w:pStyle w:val="ParaLevel1"/>
      </w:pPr>
      <w:r>
        <w:t xml:space="preserve">The Judge then turned to the </w:t>
      </w:r>
      <w:r w:rsidR="00724B1F">
        <w:t>interpretation of the KORUS FTA</w:t>
      </w:r>
      <w:r w:rsidR="009E74BA">
        <w:t xml:space="preserve">. </w:t>
      </w:r>
      <w:r w:rsidR="00673DE6">
        <w:t xml:space="preserve">After pointing out at </w:t>
      </w:r>
      <w:r w:rsidR="005F0BF1">
        <w:t>[</w:t>
      </w:r>
      <w:r w:rsidR="00F12B9E">
        <w:t>38</w:t>
      </w:r>
      <w:r w:rsidR="005F0BF1">
        <w:t xml:space="preserve">] </w:t>
      </w:r>
      <w:r w:rsidR="00673DE6">
        <w:t xml:space="preserve">that </w:t>
      </w:r>
      <w:r w:rsidR="00490FC4">
        <w:t xml:space="preserve">Chapter 11 contains a combination of substantive provisions </w:t>
      </w:r>
      <w:r w:rsidR="00224B03">
        <w:t xml:space="preserve">on the one hand </w:t>
      </w:r>
      <w:r w:rsidR="00490FC4">
        <w:t>and dispute resolution provisions</w:t>
      </w:r>
      <w:r w:rsidR="00224B03">
        <w:t xml:space="preserve"> (</w:t>
      </w:r>
      <w:r w:rsidR="00D15A9D">
        <w:t>which would be described as procedural, at least in a municipal law conte</w:t>
      </w:r>
      <w:r w:rsidR="00E1702A">
        <w:t>x</w:t>
      </w:r>
      <w:r w:rsidR="00D15A9D">
        <w:t>t</w:t>
      </w:r>
      <w:r w:rsidR="00E1702A">
        <w:t>)</w:t>
      </w:r>
      <w:r w:rsidR="00F8292B">
        <w:t xml:space="preserve"> on the other</w:t>
      </w:r>
      <w:r w:rsidR="00E1702A">
        <w:t xml:space="preserve">, the Judge </w:t>
      </w:r>
      <w:r w:rsidR="004715AD">
        <w:t xml:space="preserve">stated at [40] </w:t>
      </w:r>
      <w:r w:rsidR="00E1702A">
        <w:t xml:space="preserve">that Section A of the Chapter </w:t>
      </w:r>
      <w:r w:rsidR="00C9731B">
        <w:t>“</w:t>
      </w:r>
      <w:r w:rsidR="00E1702A">
        <w:t xml:space="preserve">is </w:t>
      </w:r>
      <w:r w:rsidR="004715AD">
        <w:t>principally concerned with</w:t>
      </w:r>
      <w:r w:rsidR="00C9731B">
        <w:t xml:space="preserve"> the substantive protections afforded by the treaty”. </w:t>
      </w:r>
      <w:r w:rsidR="00CA7AFA">
        <w:t xml:space="preserve">Whilst recognising that Article </w:t>
      </w:r>
      <w:r w:rsidR="001D5112">
        <w:t>11.1(1)</w:t>
      </w:r>
      <w:r w:rsidR="00EE67DC">
        <w:t xml:space="preserve"> identifies what “this Chapter refers to…”</w:t>
      </w:r>
      <w:r w:rsidR="00D10F00">
        <w:t>, the Judge stated that:</w:t>
      </w:r>
    </w:p>
    <w:p w14:paraId="4E1F1E88" w14:textId="6BB249E1" w:rsidR="00F54517" w:rsidRDefault="00D10F00" w:rsidP="00130DB4">
      <w:pPr>
        <w:pStyle w:val="ParaLevel1"/>
        <w:numPr>
          <w:ilvl w:val="0"/>
          <w:numId w:val="0"/>
        </w:numPr>
        <w:ind w:left="1418" w:right="851"/>
      </w:pPr>
      <w:r>
        <w:t>“</w:t>
      </w:r>
      <w:r w:rsidR="006E630A">
        <w:t>…</w:t>
      </w:r>
      <w:r w:rsidR="009C35CF">
        <w:t>the argument that Article 11.1(1) places limits on the scope of the offer to arbitrate is inherently less compelling than the position where reliance is placed on the express terms of the offer to arbitrate for the purposes of establishing a jurisdictional limitation</w:t>
      </w:r>
      <w:r w:rsidR="00C75875">
        <w:t>.”</w:t>
      </w:r>
      <w:r w:rsidR="007F427F">
        <w:t xml:space="preserve"> </w:t>
      </w:r>
      <w:r w:rsidR="008376E2">
        <w:t xml:space="preserve"> </w:t>
      </w:r>
      <w:r w:rsidR="001D5112">
        <w:t xml:space="preserve"> </w:t>
      </w:r>
      <w:r w:rsidR="00C9731B">
        <w:t xml:space="preserve"> </w:t>
      </w:r>
      <w:r w:rsidR="004715AD">
        <w:t xml:space="preserve"> </w:t>
      </w:r>
      <w:r w:rsidR="00224B03">
        <w:t xml:space="preserve"> </w:t>
      </w:r>
      <w:r w:rsidR="009F7C15">
        <w:t xml:space="preserve"> </w:t>
      </w:r>
      <w:r w:rsidR="00390E24">
        <w:t xml:space="preserve"> </w:t>
      </w:r>
      <w:r w:rsidR="00490FC4">
        <w:t xml:space="preserve"> </w:t>
      </w:r>
      <w:r w:rsidR="005F0BF1">
        <w:t xml:space="preserve"> </w:t>
      </w:r>
    </w:p>
    <w:p w14:paraId="55171CE6" w14:textId="7DB089C3" w:rsidR="00F54517" w:rsidRDefault="00EA735F" w:rsidP="00130DB4">
      <w:pPr>
        <w:pStyle w:val="ParaLevel1"/>
      </w:pPr>
      <w:r>
        <w:lastRenderedPageBreak/>
        <w:t>T</w:t>
      </w:r>
      <w:r w:rsidR="00697A6E">
        <w:t xml:space="preserve">he Judge continued his analysis of </w:t>
      </w:r>
      <w:r w:rsidR="00757DED">
        <w:t xml:space="preserve">the </w:t>
      </w:r>
      <w:r w:rsidR="00697A6E">
        <w:t xml:space="preserve">nature of the </w:t>
      </w:r>
      <w:r w:rsidR="003D11BF">
        <w:t xml:space="preserve">provisions in Section A of Chapter 11 </w:t>
      </w:r>
      <w:r w:rsidR="009B7336">
        <w:t xml:space="preserve">in [40] </w:t>
      </w:r>
      <w:r w:rsidR="003D11BF">
        <w:t xml:space="preserve">by noting that Article 11.2 addresses the relationship between substantive </w:t>
      </w:r>
      <w:r w:rsidR="007C5A3E">
        <w:t xml:space="preserve">provisions of Chapter 11 and provisions in other </w:t>
      </w:r>
      <w:proofErr w:type="gramStart"/>
      <w:r w:rsidR="007C5A3E">
        <w:t>Chapters, and</w:t>
      </w:r>
      <w:proofErr w:type="gramEnd"/>
      <w:r w:rsidR="007C5A3E">
        <w:t xml:space="preserve"> concludes by noting that “The remainder of Section A sets out the substantive protections afforded by the Treat</w:t>
      </w:r>
      <w:r w:rsidR="009A73AC">
        <w:t>y</w:t>
      </w:r>
      <w:r w:rsidR="007C5A3E">
        <w:t xml:space="preserve"> in respect of investments.”  </w:t>
      </w:r>
    </w:p>
    <w:p w14:paraId="0F18257B" w14:textId="3C12A90D" w:rsidR="00F54517" w:rsidRDefault="00005CFB" w:rsidP="00130DB4">
      <w:pPr>
        <w:pStyle w:val="ParaLevel1"/>
      </w:pPr>
      <w:r>
        <w:t xml:space="preserve">At [41] the Judge </w:t>
      </w:r>
      <w:r w:rsidR="002E0E29">
        <w:t xml:space="preserve">noted that Article 11.1(1) provides </w:t>
      </w:r>
      <w:r w:rsidR="00354E9A">
        <w:t>that “</w:t>
      </w:r>
      <w:r w:rsidR="00354E9A">
        <w:rPr>
          <w:i/>
          <w:iCs/>
        </w:rPr>
        <w:t xml:space="preserve">this Chapter </w:t>
      </w:r>
      <w:r w:rsidR="00354E9A">
        <w:t>applies to …”, not “this Section”</w:t>
      </w:r>
      <w:r w:rsidR="00AD1922">
        <w:t xml:space="preserve">, in contrast with </w:t>
      </w:r>
      <w:r w:rsidR="008F6C91">
        <w:t xml:space="preserve">other </w:t>
      </w:r>
      <w:r w:rsidR="003173F8">
        <w:t>Articles of the Treaty</w:t>
      </w:r>
      <w:r w:rsidR="00EB5FD6">
        <w:t xml:space="preserve">, but </w:t>
      </w:r>
      <w:r w:rsidR="00010303">
        <w:t>he accepted Elliott’s submission</w:t>
      </w:r>
      <w:r w:rsidR="00946F2D">
        <w:t xml:space="preserve"> that Article 11.1(1) (which is itself substantive in content) can be read as defining the scope of the substantive provisions in Chapter 11</w:t>
      </w:r>
      <w:r w:rsidR="008F6C91">
        <w:t xml:space="preserve">. </w:t>
      </w:r>
      <w:r w:rsidR="0002603F">
        <w:t xml:space="preserve">The Judge </w:t>
      </w:r>
      <w:r w:rsidR="004664A2">
        <w:t xml:space="preserve">supported that </w:t>
      </w:r>
      <w:r w:rsidR="00C202CA">
        <w:t xml:space="preserve">decision </w:t>
      </w:r>
      <w:r w:rsidR="00624ECE">
        <w:t xml:space="preserve">by </w:t>
      </w:r>
      <w:r w:rsidR="00A243E8">
        <w:t>further stating:</w:t>
      </w:r>
    </w:p>
    <w:p w14:paraId="17E86E0F" w14:textId="1C93EC05" w:rsidR="00A243E8" w:rsidRDefault="00A243E8" w:rsidP="00130DB4">
      <w:pPr>
        <w:pStyle w:val="ParaLevel2"/>
      </w:pPr>
      <w:r>
        <w:t>that so interpreted</w:t>
      </w:r>
      <w:r w:rsidR="00B27F54">
        <w:t>,</w:t>
      </w:r>
      <w:r>
        <w:t xml:space="preserve"> the concepts of scope and coverage still make sense</w:t>
      </w:r>
      <w:r w:rsidR="002052EC">
        <w:t xml:space="preserve">, defining the </w:t>
      </w:r>
      <w:r w:rsidR="00C83DEA">
        <w:t xml:space="preserve">extent of the substantive protection </w:t>
      </w:r>
      <w:proofErr w:type="gramStart"/>
      <w:r w:rsidR="00C83DEA">
        <w:t>given;</w:t>
      </w:r>
      <w:proofErr w:type="gramEnd"/>
    </w:p>
    <w:p w14:paraId="29BF5D2D" w14:textId="27AD6342" w:rsidR="00714FF5" w:rsidRDefault="00714FF5" w:rsidP="00130DB4">
      <w:pPr>
        <w:pStyle w:val="ParaLevel2"/>
      </w:pPr>
      <w:r>
        <w:t xml:space="preserve">that although other Chapters of the Treaty contain </w:t>
      </w:r>
      <w:r w:rsidR="00DA5833">
        <w:t>a “scope and coverage” clause, Chapter 11 is the only</w:t>
      </w:r>
      <w:r w:rsidR="00C8377C">
        <w:t xml:space="preserve"> Chapter where that clause appears under a particular Section heading</w:t>
      </w:r>
      <w:r w:rsidR="003F0FB2">
        <w:t>, and the only Chapter “with such an apparently clear divide between substantive provisions (Section A) and procedural provisions (Section B)</w:t>
      </w:r>
      <w:proofErr w:type="gramStart"/>
      <w:r w:rsidR="003F0FB2">
        <w:t>”</w:t>
      </w:r>
      <w:r w:rsidR="00A010ED">
        <w:t>;</w:t>
      </w:r>
      <w:proofErr w:type="gramEnd"/>
    </w:p>
    <w:p w14:paraId="16E9D5B4" w14:textId="53FC5E0B" w:rsidR="003F0FB2" w:rsidRDefault="00904A8B" w:rsidP="00130DB4">
      <w:pPr>
        <w:pStyle w:val="ParaLevel2"/>
      </w:pPr>
      <w:r>
        <w:t xml:space="preserve">that the use of “scope and coverage” clauses </w:t>
      </w:r>
      <w:r w:rsidR="00990B24">
        <w:t xml:space="preserve">within the Treaty suggests that their principal role is to differentiate the subject-matter of the separate </w:t>
      </w:r>
      <w:r w:rsidR="00E46B76">
        <w:t xml:space="preserve">Chapters, which would be achieved by a reading of Article 11.1(1) as applying to the substantive </w:t>
      </w:r>
      <w:r w:rsidR="00E739F9">
        <w:t xml:space="preserve">investment protections </w:t>
      </w:r>
      <w:proofErr w:type="gramStart"/>
      <w:r w:rsidR="00E739F9">
        <w:t>offered</w:t>
      </w:r>
      <w:r w:rsidR="00A010ED">
        <w:t>;</w:t>
      </w:r>
      <w:proofErr w:type="gramEnd"/>
      <w:r w:rsidR="00E739F9">
        <w:t xml:space="preserve"> </w:t>
      </w:r>
    </w:p>
    <w:p w14:paraId="315EB9EB" w14:textId="37D72910" w:rsidR="00E739F9" w:rsidRDefault="00A010ED" w:rsidP="00130DB4">
      <w:pPr>
        <w:pStyle w:val="ParaLevel2"/>
      </w:pPr>
      <w:r>
        <w:t xml:space="preserve">that </w:t>
      </w:r>
      <w:r w:rsidR="0033490D">
        <w:t xml:space="preserve">it was difficult to interpret “scope and coverage” provisions in certain of the other Chapters of the Treaty as </w:t>
      </w:r>
      <w:r w:rsidR="00B37EB7">
        <w:t>creating a pre-condition for the application of every provision in the relevant Chapter.</w:t>
      </w:r>
      <w:r w:rsidR="0033490D">
        <w:t xml:space="preserve"> </w:t>
      </w:r>
      <w:r>
        <w:t xml:space="preserve"> </w:t>
      </w:r>
    </w:p>
    <w:p w14:paraId="77CDB6BA" w14:textId="77777777" w:rsidR="001E075C" w:rsidRDefault="00B85573" w:rsidP="00130DB4">
      <w:pPr>
        <w:pStyle w:val="ParaLevel1"/>
      </w:pPr>
      <w:r>
        <w:t xml:space="preserve">At [42] the </w:t>
      </w:r>
      <w:r w:rsidR="00B37EB7">
        <w:t>Judge stated</w:t>
      </w:r>
      <w:r>
        <w:t xml:space="preserve"> that, in contrast</w:t>
      </w:r>
      <w:r w:rsidR="00DF27A7">
        <w:t xml:space="preserve"> to Section A</w:t>
      </w:r>
      <w:r>
        <w:t>,</w:t>
      </w:r>
      <w:r w:rsidR="00B37EB7">
        <w:t xml:space="preserve"> </w:t>
      </w:r>
      <w:r w:rsidR="00E47BDB">
        <w:t xml:space="preserve">Section B of Chapter 11 has an avowedly “procedural” character. </w:t>
      </w:r>
      <w:r w:rsidR="00A84BC7">
        <w:t>At [43] he noted that the</w:t>
      </w:r>
      <w:r w:rsidR="00291633">
        <w:t>re was no definition of “investment dispute”</w:t>
      </w:r>
      <w:r w:rsidR="00E74FD8">
        <w:t xml:space="preserve">, but expressed the view that, on the face of things an “investment dispute” </w:t>
      </w:r>
      <w:r w:rsidR="00ED327F">
        <w:t xml:space="preserve">would include a dispute as to whether the matters in Article 11.1(1) are satisfied. </w:t>
      </w:r>
    </w:p>
    <w:p w14:paraId="58261F5A" w14:textId="629D5F7C" w:rsidR="00AD7245" w:rsidRDefault="00FE66ED" w:rsidP="00130DB4">
      <w:pPr>
        <w:pStyle w:val="ParaLevel1"/>
      </w:pPr>
      <w:r>
        <w:t xml:space="preserve">The Judge described </w:t>
      </w:r>
      <w:r w:rsidR="00F317E5">
        <w:t>Article 11.16</w:t>
      </w:r>
      <w:r w:rsidR="00E74FD8">
        <w:t xml:space="preserve"> </w:t>
      </w:r>
      <w:r>
        <w:t>as the crucial article for present purposes. At [45</w:t>
      </w:r>
      <w:r w:rsidR="00AD62B1">
        <w:t xml:space="preserve">] he stated that the distinction between Section A (dealing with substantive protections) and Section B </w:t>
      </w:r>
      <w:r w:rsidR="00E03A61">
        <w:t>(dealing with dispute resolution) is reinforce</w:t>
      </w:r>
      <w:r w:rsidR="00FF6FEA">
        <w:t>d</w:t>
      </w:r>
      <w:r w:rsidR="00E03A61">
        <w:t xml:space="preserve"> by the language of that Article</w:t>
      </w:r>
      <w:r w:rsidR="005B2EDE">
        <w:t>, referring to “arbitration under th</w:t>
      </w:r>
      <w:r w:rsidR="001D58B2">
        <w:t>is</w:t>
      </w:r>
      <w:r w:rsidR="005B2EDE">
        <w:t xml:space="preserve"> Section” of a </w:t>
      </w:r>
      <w:proofErr w:type="gramStart"/>
      <w:r w:rsidR="005B2EDE">
        <w:t>claim  (</w:t>
      </w:r>
      <w:proofErr w:type="gramEnd"/>
      <w:r w:rsidR="005B2EDE" w:rsidRPr="00B27F54">
        <w:rPr>
          <w:i/>
          <w:iCs/>
        </w:rPr>
        <w:t>inter alia</w:t>
      </w:r>
      <w:r w:rsidR="005B2EDE">
        <w:t xml:space="preserve">) </w:t>
      </w:r>
      <w:r w:rsidR="00900647">
        <w:t xml:space="preserve">“for </w:t>
      </w:r>
      <w:r w:rsidR="005B2EDE">
        <w:t>breach</w:t>
      </w:r>
      <w:r w:rsidR="00900647">
        <w:t xml:space="preserve"> of an obligation under Section A”. </w:t>
      </w:r>
      <w:r w:rsidR="00AD7245">
        <w:t>T</w:t>
      </w:r>
      <w:r w:rsidR="000A5485">
        <w:t xml:space="preserve">he Judge then considered the definition of “claimant” </w:t>
      </w:r>
      <w:r w:rsidR="00AE2DF4">
        <w:t>and “investment”, concluding that their effect is to limit the offer to arbitrate to claimant</w:t>
      </w:r>
      <w:r w:rsidR="004E507F">
        <w:t>s</w:t>
      </w:r>
      <w:r w:rsidR="00AE2DF4">
        <w:t xml:space="preserve"> who meet a nationality requirement</w:t>
      </w:r>
      <w:r w:rsidR="006F4A87">
        <w:t xml:space="preserve"> and </w:t>
      </w:r>
      <w:r w:rsidR="00650B6C">
        <w:t>have made a qualifying investment</w:t>
      </w:r>
      <w:r w:rsidR="0026113E">
        <w:t xml:space="preserve">. </w:t>
      </w:r>
      <w:r w:rsidR="00462F6A">
        <w:t>Article</w:t>
      </w:r>
      <w:r w:rsidR="00197748">
        <w:t xml:space="preserve"> </w:t>
      </w:r>
      <w:r w:rsidR="004D06EA">
        <w:t>11.</w:t>
      </w:r>
      <w:r w:rsidR="00462F6A">
        <w:t>16 therefore contains matters which</w:t>
      </w:r>
      <w:r w:rsidR="00197748">
        <w:t>,</w:t>
      </w:r>
      <w:r w:rsidR="00462F6A">
        <w:t xml:space="preserve"> in many BITs</w:t>
      </w:r>
      <w:r w:rsidR="00197748">
        <w:t>,</w:t>
      </w:r>
      <w:r w:rsidR="0048367E">
        <w:t xml:space="preserve"> are jurisdictional, such that it cannot be said to be lacking in </w:t>
      </w:r>
      <w:r w:rsidR="00AD7245">
        <w:t>“</w:t>
      </w:r>
      <w:r w:rsidR="0048367E">
        <w:t>jurisdictio</w:t>
      </w:r>
      <w:r w:rsidR="00AD7245">
        <w:t>n</w:t>
      </w:r>
      <w:r w:rsidR="0048367E">
        <w:t>al fibre</w:t>
      </w:r>
      <w:r w:rsidR="00AD7245">
        <w:t>”</w:t>
      </w:r>
      <w:r w:rsidR="0048367E">
        <w:t xml:space="preserve"> such that it is necessary to look elsewhere in the </w:t>
      </w:r>
      <w:r w:rsidR="00AD7245">
        <w:t>Chapter.</w:t>
      </w:r>
      <w:r w:rsidR="00457007">
        <w:t xml:space="preserve"> </w:t>
      </w:r>
      <w:r w:rsidR="0030557B">
        <w:t>The Judge concluded</w:t>
      </w:r>
      <w:r w:rsidR="00EA426E">
        <w:t>:</w:t>
      </w:r>
      <w:r w:rsidR="00AD7245">
        <w:t xml:space="preserve"> </w:t>
      </w:r>
    </w:p>
    <w:p w14:paraId="63C96F02" w14:textId="6CF5A88E" w:rsidR="000A5485" w:rsidRDefault="00EA426E" w:rsidP="00130DB4">
      <w:pPr>
        <w:pStyle w:val="ParaLevel1"/>
        <w:numPr>
          <w:ilvl w:val="0"/>
          <w:numId w:val="0"/>
        </w:numPr>
        <w:ind w:left="1418" w:right="851"/>
      </w:pPr>
      <w:r>
        <w:t xml:space="preserve">“Subject to the possible argument on Article 11.17 to which I will shortly turn, there is nothing in Section B which suggests that there is a further limit in the scope of the offer to arbitrate (as opposed to the scope of the protection afforded by Chapter 11). On the contrary, the subject-matter limitation in Article 11.16 depends on what the claimant </w:t>
      </w:r>
      <w:r>
        <w:lastRenderedPageBreak/>
        <w:t>is asserting (“a claim that the respondent has breached ….” a relevant obligation in relation to its investment). As [Elliott] submitted, a claim for breach of an obligation under Section A will necessarily involve a claim that the requirements of Article 11.1(1) are satisfied.</w:t>
      </w:r>
      <w:r w:rsidR="00703DF8">
        <w:t>”</w:t>
      </w:r>
      <w:r w:rsidR="00462F6A">
        <w:t xml:space="preserve"> </w:t>
      </w:r>
      <w:r w:rsidR="00AE2DF4">
        <w:t xml:space="preserve"> </w:t>
      </w:r>
      <w:r w:rsidR="000A5485">
        <w:t xml:space="preserve"> </w:t>
      </w:r>
    </w:p>
    <w:p w14:paraId="651BAEA5" w14:textId="0F263E4D" w:rsidR="00F54517" w:rsidRDefault="00690E9A" w:rsidP="00130DB4">
      <w:pPr>
        <w:pStyle w:val="ParaLevel1"/>
      </w:pPr>
      <w:r>
        <w:t xml:space="preserve">The Judge further regarded it as highly significant </w:t>
      </w:r>
      <w:r w:rsidR="00D07947">
        <w:t>that the right to arbitrate is not limited to cla</w:t>
      </w:r>
      <w:r w:rsidR="00703DF8">
        <w:t>i</w:t>
      </w:r>
      <w:r w:rsidR="00D07947">
        <w:t>ms for breach of the obligations arising under Section A, but extended to claim</w:t>
      </w:r>
      <w:r w:rsidR="00C650D8">
        <w:t>s</w:t>
      </w:r>
      <w:r w:rsidR="00D07947">
        <w:t xml:space="preserve"> for breach of an </w:t>
      </w:r>
      <w:r w:rsidR="00C449F3">
        <w:t xml:space="preserve">“investment authorization” or an “investment agreement”. </w:t>
      </w:r>
      <w:r w:rsidR="008361CD">
        <w:t xml:space="preserve">At [46] the Judge pointed out that the effect of </w:t>
      </w:r>
      <w:r w:rsidR="0054072B">
        <w:t xml:space="preserve">Korea’s arguments would be </w:t>
      </w:r>
      <w:proofErr w:type="gramStart"/>
      <w:r w:rsidR="0054072B">
        <w:t>that</w:t>
      </w:r>
      <w:r w:rsidR="00491CF8">
        <w:t>,</w:t>
      </w:r>
      <w:proofErr w:type="gramEnd"/>
      <w:r w:rsidR="00491CF8">
        <w:t xml:space="preserve"> contrary to the ordinary meaning of Article 11.16, </w:t>
      </w:r>
      <w:r w:rsidR="000670C1">
        <w:t xml:space="preserve">the States were not offering to arbitrate </w:t>
      </w:r>
      <w:r w:rsidR="000670C1">
        <w:rPr>
          <w:i/>
          <w:iCs/>
        </w:rPr>
        <w:t xml:space="preserve">all </w:t>
      </w:r>
      <w:r w:rsidR="000670C1">
        <w:t>cla</w:t>
      </w:r>
      <w:r w:rsidR="00C650D8">
        <w:t>i</w:t>
      </w:r>
      <w:r w:rsidR="000670C1">
        <w:t>m</w:t>
      </w:r>
      <w:r w:rsidR="00C650D8">
        <w:t>s</w:t>
      </w:r>
      <w:r w:rsidR="000670C1">
        <w:t xml:space="preserve"> for breach of </w:t>
      </w:r>
      <w:r w:rsidR="00B91F20">
        <w:t>such authori</w:t>
      </w:r>
      <w:r w:rsidR="0011091B">
        <w:t>z</w:t>
      </w:r>
      <w:r w:rsidR="00B91F20">
        <w:t xml:space="preserve">ations or agreements, but only those </w:t>
      </w:r>
      <w:r w:rsidR="00D16DE0">
        <w:t xml:space="preserve">where the claimant could also satisfy Article 11.1(1). That would mean that </w:t>
      </w:r>
      <w:r w:rsidR="00C72841">
        <w:t xml:space="preserve">disputes under the same investment agreement would be determined in two different </w:t>
      </w:r>
      <w:r w:rsidR="00866BCC">
        <w:t>fora</w:t>
      </w:r>
      <w:r w:rsidR="00C47817">
        <w:t>, however closely th</w:t>
      </w:r>
      <w:r w:rsidR="0016638C">
        <w:t>ose disputes</w:t>
      </w:r>
      <w:r w:rsidR="00C47817">
        <w:t xml:space="preserve"> might be related. </w:t>
      </w:r>
      <w:r w:rsidR="00866BCC">
        <w:t xml:space="preserve">The Judge </w:t>
      </w:r>
      <w:r w:rsidR="00C47817">
        <w:t xml:space="preserve">also </w:t>
      </w:r>
      <w:r w:rsidR="006265CE">
        <w:t>noted that, whereas Article 11.22 provide</w:t>
      </w:r>
      <w:r w:rsidR="0045322A">
        <w:t>s</w:t>
      </w:r>
      <w:r w:rsidR="006265CE">
        <w:t xml:space="preserve"> that </w:t>
      </w:r>
      <w:r w:rsidR="005A6AF9">
        <w:t>claims submitted in relation to investment authori</w:t>
      </w:r>
      <w:r w:rsidR="00D94FE3">
        <w:t>z</w:t>
      </w:r>
      <w:r w:rsidR="005A6AF9">
        <w:t>ations and agreement</w:t>
      </w:r>
      <w:r w:rsidR="00BF472F">
        <w:t>s</w:t>
      </w:r>
      <w:r w:rsidR="005A6AF9">
        <w:t xml:space="preserve"> </w:t>
      </w:r>
      <w:r w:rsidR="0045322A">
        <w:t>are to be decided by the law specified in the au</w:t>
      </w:r>
      <w:r w:rsidR="00BB113A">
        <w:t>thori</w:t>
      </w:r>
      <w:r w:rsidR="00D94FE3">
        <w:t>z</w:t>
      </w:r>
      <w:r w:rsidR="00BB113A">
        <w:t>ation or agreement</w:t>
      </w:r>
      <w:r w:rsidR="00641418">
        <w:t xml:space="preserve">, </w:t>
      </w:r>
      <w:r w:rsidR="008A3475">
        <w:t xml:space="preserve">or otherwise as agreed, </w:t>
      </w:r>
      <w:r w:rsidR="00641418">
        <w:t xml:space="preserve">with a default </w:t>
      </w:r>
      <w:r w:rsidR="008E5C2C">
        <w:t xml:space="preserve">choice of “the law of the respondent”, </w:t>
      </w:r>
      <w:r w:rsidR="007D47B6">
        <w:t xml:space="preserve">on Korea’s construction it would be necessary </w:t>
      </w:r>
      <w:r w:rsidR="00FC459F">
        <w:t xml:space="preserve">also </w:t>
      </w:r>
      <w:r w:rsidR="00C650D8">
        <w:t xml:space="preserve">to </w:t>
      </w:r>
      <w:r w:rsidR="007D47B6">
        <w:t xml:space="preserve">apply </w:t>
      </w:r>
      <w:r w:rsidR="00BB3154">
        <w:t xml:space="preserve">“this Agreement” and international law in determining whether Article 11.1(1) is satisfied.  </w:t>
      </w:r>
      <w:r w:rsidR="00866C4E">
        <w:t xml:space="preserve"> </w:t>
      </w:r>
      <w:r w:rsidR="006265CE">
        <w:t xml:space="preserve"> </w:t>
      </w:r>
      <w:r w:rsidR="00866BCC">
        <w:t xml:space="preserve">  </w:t>
      </w:r>
      <w:r w:rsidR="0054072B">
        <w:t xml:space="preserve">  </w:t>
      </w:r>
      <w:r w:rsidR="00C449F3">
        <w:t xml:space="preserve"> </w:t>
      </w:r>
    </w:p>
    <w:p w14:paraId="72C97383" w14:textId="2DC3B1EB" w:rsidR="00F54517" w:rsidRDefault="00FC459F" w:rsidP="00130DB4">
      <w:pPr>
        <w:pStyle w:val="ParaLevel1"/>
      </w:pPr>
      <w:r>
        <w:t xml:space="preserve">Turning to Article 11.17, at [48] the Judge </w:t>
      </w:r>
      <w:r w:rsidR="009B4C82">
        <w:t xml:space="preserve">recognised that the </w:t>
      </w:r>
      <w:r w:rsidR="009A63AA">
        <w:t>consent of the States to the submission of a claim to arbitration “</w:t>
      </w:r>
      <w:r w:rsidR="009F1B03">
        <w:t xml:space="preserve">under this Section and in accordance with this Agreement” provides some support for </w:t>
      </w:r>
      <w:r w:rsidR="00AC3A0C">
        <w:t>the argument that the limitation</w:t>
      </w:r>
      <w:r w:rsidR="00C650D8">
        <w:t xml:space="preserve"> for</w:t>
      </w:r>
      <w:r w:rsidR="00AC3A0C">
        <w:t xml:space="preserve"> that consent </w:t>
      </w:r>
      <w:r w:rsidR="001B049A">
        <w:t>is not only to be f</w:t>
      </w:r>
      <w:r w:rsidR="00D94FE3">
        <w:t>o</w:t>
      </w:r>
      <w:r w:rsidR="001B049A">
        <w:t xml:space="preserve">und in Section B. But he </w:t>
      </w:r>
      <w:r w:rsidR="00064260">
        <w:t xml:space="preserve">considered the </w:t>
      </w:r>
      <w:r w:rsidR="00672CAB">
        <w:t>weight carried by those words to be limited</w:t>
      </w:r>
      <w:r w:rsidR="0095527C">
        <w:t>, due to their generality</w:t>
      </w:r>
      <w:r w:rsidR="00DB19CF">
        <w:t>,</w:t>
      </w:r>
      <w:r w:rsidR="0095527C">
        <w:t xml:space="preserve"> </w:t>
      </w:r>
      <w:r w:rsidR="00676630">
        <w:t xml:space="preserve">because they “can readily be interpreted as a reference to the procedural </w:t>
      </w:r>
      <w:r w:rsidR="00AE7885">
        <w:t>restrictions on submitting a claim</w:t>
      </w:r>
      <w:r w:rsidR="00706354">
        <w:t>”</w:t>
      </w:r>
      <w:r w:rsidR="00AE7885">
        <w:t xml:space="preserve"> in Article 11.16</w:t>
      </w:r>
      <w:r w:rsidR="00DB19CF">
        <w:t xml:space="preserve">, and due to </w:t>
      </w:r>
      <w:r w:rsidR="00E96843">
        <w:t xml:space="preserve">the </w:t>
      </w:r>
      <w:r w:rsidR="00DB19CF">
        <w:t xml:space="preserve">absence of </w:t>
      </w:r>
      <w:r w:rsidR="00E97601">
        <w:t xml:space="preserve">any reference in Article 11.17 to Article 11.1(1), Section A or even Chapter 11. </w:t>
      </w:r>
      <w:r w:rsidR="00DB19CF">
        <w:t xml:space="preserve"> </w:t>
      </w:r>
      <w:r w:rsidR="009F1B03">
        <w:t xml:space="preserve"> </w:t>
      </w:r>
      <w:r w:rsidR="009A63AA">
        <w:t xml:space="preserve"> </w:t>
      </w:r>
    </w:p>
    <w:p w14:paraId="5AAF1AEF" w14:textId="0E9B2F9A" w:rsidR="00F54517" w:rsidRDefault="00E97601" w:rsidP="00130DB4">
      <w:pPr>
        <w:pStyle w:val="ParaLevel1"/>
      </w:pPr>
      <w:r>
        <w:t>At [49] the Judge further relied on the fact that Article 11.18 sets out “conditions and limitations of consent</w:t>
      </w:r>
      <w:r w:rsidR="00FF0599">
        <w:t>”</w:t>
      </w:r>
      <w:r>
        <w:t>, includin</w:t>
      </w:r>
      <w:r w:rsidR="00FF0599">
        <w:t>g</w:t>
      </w:r>
      <w:r>
        <w:t xml:space="preserve"> a time limit</w:t>
      </w:r>
      <w:r w:rsidR="00FF0599">
        <w:t xml:space="preserve">, but does not refer to Article 11.1(1).  </w:t>
      </w:r>
    </w:p>
    <w:p w14:paraId="0BC9AE70" w14:textId="6065B8AB" w:rsidR="000A6AA3" w:rsidRDefault="00820114" w:rsidP="00130DB4">
      <w:pPr>
        <w:pStyle w:val="ParaLevel1"/>
      </w:pPr>
      <w:r>
        <w:t xml:space="preserve">The Judge next considered the nature of </w:t>
      </w:r>
      <w:r w:rsidR="00034261">
        <w:t xml:space="preserve">issues which the supervisory court might be required to determine </w:t>
      </w:r>
      <w:r w:rsidR="00C77052">
        <w:t>on the competing constructions of Chapter 11.</w:t>
      </w:r>
      <w:r w:rsidR="00DF58B1">
        <w:t xml:space="preserve"> At [50] t</w:t>
      </w:r>
      <w:r w:rsidR="00303A8B">
        <w:t xml:space="preserve">he Judge accepted Korea’s submission that that cannot be </w:t>
      </w:r>
      <w:r w:rsidR="00DF58B1">
        <w:t>determinative</w:t>
      </w:r>
      <w:r w:rsidR="00A6176C">
        <w:t xml:space="preserve"> of whether a particular issue is jurisdictional, but he was persuaded </w:t>
      </w:r>
      <w:r w:rsidR="00A01578">
        <w:t>that “if a particular issue is integrated to</w:t>
      </w:r>
      <w:r w:rsidR="00043BFC">
        <w:t xml:space="preserve"> </w:t>
      </w:r>
      <w:r w:rsidR="00A01578">
        <w:t xml:space="preserve">a significant extent into the merits of a dispute, that weighs to some extent </w:t>
      </w:r>
      <w:r w:rsidR="007402D5">
        <w:t xml:space="preserve">against </w:t>
      </w:r>
      <w:proofErr w:type="gramStart"/>
      <w:r w:rsidR="007402D5">
        <w:t>according</w:t>
      </w:r>
      <w:proofErr w:type="gramEnd"/>
      <w:r w:rsidR="007402D5">
        <w:t xml:space="preserve"> it a jurisdictional characterisation</w:t>
      </w:r>
      <w:r w:rsidR="006A5A23">
        <w:t>”</w:t>
      </w:r>
      <w:r w:rsidR="007402D5">
        <w:t>.</w:t>
      </w:r>
      <w:r w:rsidR="006A5A23">
        <w:t xml:space="preserve"> </w:t>
      </w:r>
      <w:r w:rsidR="00043BFC">
        <w:t xml:space="preserve">At [51] the Judge </w:t>
      </w:r>
      <w:r w:rsidR="00505ED2">
        <w:t xml:space="preserve">examined how the three issues </w:t>
      </w:r>
      <w:r w:rsidR="00383C49">
        <w:t xml:space="preserve">raised by Article 11.1(1) were engaged in the dispute between Elliott and Korea, concluding in [52] that </w:t>
      </w:r>
      <w:r w:rsidR="000A6AA3">
        <w:t>“these issues engage questions which are closely connected with the merits of [Elliott’s] complaints</w:t>
      </w:r>
      <w:r w:rsidR="00B201D8">
        <w:t>”</w:t>
      </w:r>
      <w:r w:rsidR="000A6AA3">
        <w:t>.</w:t>
      </w:r>
    </w:p>
    <w:p w14:paraId="5A88FFC1" w14:textId="61BDBC5F" w:rsidR="0030226E" w:rsidRDefault="003D1F8D" w:rsidP="00130DB4">
      <w:pPr>
        <w:pStyle w:val="ParaLevel1"/>
      </w:pPr>
      <w:r>
        <w:t>The</w:t>
      </w:r>
      <w:r w:rsidR="00105397">
        <w:t xml:space="preserve"> </w:t>
      </w:r>
      <w:r w:rsidR="00417D7F">
        <w:t xml:space="preserve">Judge next considered decisions of </w:t>
      </w:r>
      <w:r w:rsidR="008A7376">
        <w:t>ITA</w:t>
      </w:r>
      <w:r w:rsidR="003F3439">
        <w:t xml:space="preserve"> tribunals sitting under the </w:t>
      </w:r>
      <w:r w:rsidR="002B628B">
        <w:t xml:space="preserve">arbitration regime established by the North American </w:t>
      </w:r>
      <w:r w:rsidR="00E96843">
        <w:t>F</w:t>
      </w:r>
      <w:r w:rsidR="002B628B">
        <w:t>ree Trade Agreement (“NAFTA”).</w:t>
      </w:r>
      <w:r w:rsidR="006C08B9">
        <w:t xml:space="preserve"> NAFTA contains at Article 1101(1) a provision </w:t>
      </w:r>
      <w:r w:rsidR="00921C62">
        <w:t>equivalent to Article 11.1(1) in the KORUS FTA</w:t>
      </w:r>
      <w:r w:rsidR="006E72BB">
        <w:t xml:space="preserve"> (including its position at the start of Section A)</w:t>
      </w:r>
      <w:r w:rsidR="005C5837">
        <w:t>. A</w:t>
      </w:r>
      <w:r w:rsidR="00814B56">
        <w:t xml:space="preserve">s the Judge recognised at </w:t>
      </w:r>
      <w:r w:rsidR="008A7376">
        <w:t xml:space="preserve">[53], </w:t>
      </w:r>
      <w:proofErr w:type="gramStart"/>
      <w:r w:rsidR="008A7376">
        <w:t>a number of</w:t>
      </w:r>
      <w:proofErr w:type="gramEnd"/>
      <w:r w:rsidR="008A7376">
        <w:t xml:space="preserve"> ITA awards have treated that provision as jurisdictional. </w:t>
      </w:r>
      <w:r w:rsidR="00197DFD">
        <w:t xml:space="preserve">The Judge </w:t>
      </w:r>
      <w:r w:rsidR="00295063">
        <w:t xml:space="preserve">first set out </w:t>
      </w:r>
      <w:r w:rsidR="00611E83">
        <w:t xml:space="preserve">extracts from the </w:t>
      </w:r>
      <w:r w:rsidR="003A64D8">
        <w:t>P</w:t>
      </w:r>
      <w:r w:rsidR="00611E83">
        <w:t xml:space="preserve">artial Award in </w:t>
      </w:r>
      <w:r w:rsidR="00B60A1E">
        <w:rPr>
          <w:i/>
          <w:iCs/>
        </w:rPr>
        <w:t>M</w:t>
      </w:r>
      <w:r w:rsidR="003A64D8">
        <w:rPr>
          <w:i/>
          <w:iCs/>
        </w:rPr>
        <w:t>e</w:t>
      </w:r>
      <w:r w:rsidR="00B60A1E">
        <w:rPr>
          <w:i/>
          <w:iCs/>
        </w:rPr>
        <w:t>th</w:t>
      </w:r>
      <w:r w:rsidR="003A64D8">
        <w:rPr>
          <w:i/>
          <w:iCs/>
        </w:rPr>
        <w:t>a</w:t>
      </w:r>
      <w:r w:rsidR="00B60A1E">
        <w:rPr>
          <w:i/>
          <w:iCs/>
        </w:rPr>
        <w:t>nex Corporation v United States of America</w:t>
      </w:r>
      <w:r w:rsidR="003A64D8">
        <w:rPr>
          <w:i/>
          <w:iCs/>
        </w:rPr>
        <w:t xml:space="preserve"> </w:t>
      </w:r>
      <w:r w:rsidR="003A64D8">
        <w:t>7</w:t>
      </w:r>
      <w:r w:rsidR="00B1242C">
        <w:t xml:space="preserve"> August 2002 (Rowley</w:t>
      </w:r>
      <w:r w:rsidR="0030226E">
        <w:t>, Christopher, Veeder)</w:t>
      </w:r>
      <w:r w:rsidR="005D17E7">
        <w:t>, where the tribunal had to consider challenges of jurisdiction and admissibility</w:t>
      </w:r>
      <w:r w:rsidR="0030226E">
        <w:t>:</w:t>
      </w:r>
    </w:p>
    <w:p w14:paraId="1552A5E7" w14:textId="77777777" w:rsidR="0065400F" w:rsidRDefault="0039532A" w:rsidP="00130DB4">
      <w:pPr>
        <w:pStyle w:val="ParaLevel1"/>
        <w:numPr>
          <w:ilvl w:val="0"/>
          <w:numId w:val="0"/>
        </w:numPr>
        <w:ind w:left="1418" w:right="851"/>
      </w:pPr>
      <w:r>
        <w:lastRenderedPageBreak/>
        <w:t>“54</w:t>
      </w:r>
      <w:r w:rsidR="005D17E7">
        <w:t>…</w:t>
      </w:r>
      <w:r>
        <w:t xml:space="preserve"> At [106], the tribunal found that its “power to rule on the USA’s challenges necessarily derives from Chapter 11” the scheme of which was described as follows:</w:t>
      </w:r>
    </w:p>
    <w:p w14:paraId="19B36215" w14:textId="77777777" w:rsidR="0065400F" w:rsidRDefault="0039532A" w:rsidP="00130DB4">
      <w:pPr>
        <w:pStyle w:val="ParaLevel1"/>
        <w:numPr>
          <w:ilvl w:val="0"/>
          <w:numId w:val="0"/>
        </w:numPr>
        <w:ind w:left="1418" w:right="851"/>
      </w:pPr>
      <w:r>
        <w:t xml:space="preserve">“(i) Article 1101(1): This is the gateway leading to the dispute resolution provisions of Chapter 11. Hence the powers of the Tribunal can only come into legal existence if the requirements of Article 1101(1) are </w:t>
      </w:r>
      <w:proofErr w:type="gramStart"/>
      <w:r>
        <w:t>met;</w:t>
      </w:r>
      <w:proofErr w:type="gramEnd"/>
    </w:p>
    <w:p w14:paraId="0375ECEF" w14:textId="77777777" w:rsidR="00AB12CC" w:rsidRDefault="0039532A" w:rsidP="00130DB4">
      <w:pPr>
        <w:pStyle w:val="ParaLevel1"/>
        <w:numPr>
          <w:ilvl w:val="0"/>
          <w:numId w:val="0"/>
        </w:numPr>
        <w:ind w:left="1418" w:right="851"/>
      </w:pPr>
      <w:r>
        <w:t>(ii) Articles 1116-1117: If Chapter 11 applies, an investor of a NAFTA Party has the right to submit a claim to arbitration in accordance with Articles 1116- 1117.”</w:t>
      </w:r>
    </w:p>
    <w:p w14:paraId="68CCFD18" w14:textId="77777777" w:rsidR="00AB12CC" w:rsidRDefault="0039532A" w:rsidP="00130DB4">
      <w:pPr>
        <w:pStyle w:val="ParaLevel1"/>
        <w:numPr>
          <w:ilvl w:val="0"/>
          <w:numId w:val="0"/>
        </w:numPr>
        <w:ind w:left="1418" w:right="851"/>
      </w:pPr>
      <w:r>
        <w:t xml:space="preserve">55. At [120], the tribunal stated that “in order to establish the necessary consent to arbitration, it is sufficient to show (i) that Chapter 11 applies in the first place, i.e. that the requirements of Article 1101 are met; and (ii) that a claim has been brought by a claimant investor in accordance with Articles 1116 or 1117 …. Where these requirements are met by claimant, Article 1122 is satisfied </w:t>
      </w:r>
      <w:r w:rsidRPr="0007324E">
        <w:rPr>
          <w:i/>
          <w:iCs/>
        </w:rPr>
        <w:t>and the NAFTA Party’s consent to arbitration is established</w:t>
      </w:r>
      <w:r>
        <w:t xml:space="preserve">” (emphasis added). </w:t>
      </w:r>
    </w:p>
    <w:p w14:paraId="56C608C6" w14:textId="3242ABCF" w:rsidR="00F54517" w:rsidRDefault="0039532A" w:rsidP="00130DB4">
      <w:pPr>
        <w:pStyle w:val="ParaLevel1"/>
        <w:numPr>
          <w:ilvl w:val="0"/>
          <w:numId w:val="0"/>
        </w:numPr>
        <w:ind w:left="1418" w:right="851"/>
      </w:pPr>
      <w:r>
        <w:t>56. At [121], the tribunal continued: “</w:t>
      </w:r>
      <w:proofErr w:type="gramStart"/>
      <w:r>
        <w:t>in order to</w:t>
      </w:r>
      <w:proofErr w:type="gramEnd"/>
      <w:r>
        <w:t xml:space="preserve"> establish its jurisdiction, a tribunal must be satisfied that Chapter 11 does indeed apply … This means that it must, interpret, definitively, Article 1101(1) and decide whether, on the facts alleged by the claimant, Chapter 11 applies.”</w:t>
      </w:r>
      <w:r w:rsidR="0030226E">
        <w:t xml:space="preserve"> </w:t>
      </w:r>
      <w:r w:rsidR="001D4A9F">
        <w:t xml:space="preserve"> </w:t>
      </w:r>
      <w:r w:rsidR="00814B56">
        <w:t xml:space="preserve"> </w:t>
      </w:r>
      <w:r w:rsidR="002B628B">
        <w:t xml:space="preserve"> </w:t>
      </w:r>
    </w:p>
    <w:p w14:paraId="549FE006" w14:textId="20F1A9B8" w:rsidR="003177B0" w:rsidRDefault="00D125E1" w:rsidP="00130DB4">
      <w:pPr>
        <w:pStyle w:val="ParaLevel1"/>
      </w:pPr>
      <w:r>
        <w:t xml:space="preserve">The Judge accepted </w:t>
      </w:r>
      <w:r w:rsidR="00881D30">
        <w:t xml:space="preserve">at [57] </w:t>
      </w:r>
      <w:r>
        <w:t xml:space="preserve">that </w:t>
      </w:r>
      <w:r w:rsidR="00C5743D">
        <w:t xml:space="preserve">this highly respected tribunal </w:t>
      </w:r>
      <w:r w:rsidR="00881D30">
        <w:t>adopted an interpretation of NAFTA which analysed the requirement</w:t>
      </w:r>
      <w:r w:rsidR="000C7F74">
        <w:t>s of Article 1101(1), the equivalent of Article 11.1</w:t>
      </w:r>
      <w:r w:rsidR="00A641FA">
        <w:t>(</w:t>
      </w:r>
      <w:r w:rsidR="000C7F74">
        <w:t xml:space="preserve">1) </w:t>
      </w:r>
      <w:r w:rsidR="00A641FA">
        <w:t>of the KORUS FTA</w:t>
      </w:r>
      <w:r w:rsidR="000C7F74">
        <w:t xml:space="preserve">, as conditions of the </w:t>
      </w:r>
      <w:r w:rsidR="00B31ACD">
        <w:t>States’ consent to arbitrate.</w:t>
      </w:r>
      <w:r w:rsidR="00881D30">
        <w:t xml:space="preserve"> </w:t>
      </w:r>
      <w:r w:rsidR="009146E9">
        <w:t xml:space="preserve">But he noted that </w:t>
      </w:r>
      <w:r w:rsidR="001D6A69">
        <w:t xml:space="preserve">it was common ground that </w:t>
      </w:r>
      <w:r w:rsidR="00D76C69">
        <w:t xml:space="preserve">at the jurisdiction </w:t>
      </w:r>
      <w:r w:rsidR="001D6A69">
        <w:t>phase</w:t>
      </w:r>
      <w:r w:rsidR="00D76C69">
        <w:t xml:space="preserve"> </w:t>
      </w:r>
      <w:r w:rsidR="00D76C69" w:rsidRPr="00685A38">
        <w:t>Meth</w:t>
      </w:r>
      <w:r w:rsidR="007C5503">
        <w:t>a</w:t>
      </w:r>
      <w:r w:rsidR="00D76C69" w:rsidRPr="00685A38">
        <w:t>nex</w:t>
      </w:r>
      <w:r w:rsidR="00D76C69">
        <w:rPr>
          <w:i/>
          <w:iCs/>
        </w:rPr>
        <w:t xml:space="preserve"> </w:t>
      </w:r>
      <w:r w:rsidR="001D6A69">
        <w:t xml:space="preserve">was </w:t>
      </w:r>
      <w:r w:rsidR="00E431CD">
        <w:t>not obliged to prove its factual case, merely to make credible allegations</w:t>
      </w:r>
      <w:r w:rsidR="00406956">
        <w:t>, a different</w:t>
      </w:r>
      <w:r w:rsidR="00B200A4">
        <w:t xml:space="preserve"> concept of “jurisdiction” than that </w:t>
      </w:r>
      <w:r w:rsidR="00FB0BD8">
        <w:t xml:space="preserve">contained in section 30 of the 1996 Act </w:t>
      </w:r>
      <w:r w:rsidR="00511724">
        <w:t xml:space="preserve">and at issue in a section 67 challenge. </w:t>
      </w:r>
    </w:p>
    <w:p w14:paraId="4E89BE9A" w14:textId="28193CCD" w:rsidR="00F54517" w:rsidRDefault="00511724" w:rsidP="00130DB4">
      <w:pPr>
        <w:pStyle w:val="ParaLevel1"/>
      </w:pPr>
      <w:r>
        <w:t xml:space="preserve">However, the Judge </w:t>
      </w:r>
      <w:r w:rsidR="003177B0">
        <w:t xml:space="preserve">noted at [58] that there was a second jurisdictional award in </w:t>
      </w:r>
      <w:r w:rsidR="003177B0">
        <w:rPr>
          <w:i/>
          <w:iCs/>
        </w:rPr>
        <w:t>Meth</w:t>
      </w:r>
      <w:r w:rsidR="007C5503">
        <w:rPr>
          <w:i/>
          <w:iCs/>
        </w:rPr>
        <w:t>a</w:t>
      </w:r>
      <w:r w:rsidR="003177B0">
        <w:rPr>
          <w:i/>
          <w:iCs/>
        </w:rPr>
        <w:t xml:space="preserve">nex </w:t>
      </w:r>
      <w:r w:rsidR="00231E44">
        <w:t xml:space="preserve">following </w:t>
      </w:r>
      <w:r w:rsidR="00AD55AA">
        <w:t xml:space="preserve">an amendment to Methenex’s claim and </w:t>
      </w:r>
      <w:r w:rsidR="00231E44">
        <w:t xml:space="preserve">a rolled-up jurisdiction and merits hearing. </w:t>
      </w:r>
      <w:r w:rsidR="004D7607">
        <w:t xml:space="preserve">The </w:t>
      </w:r>
      <w:r w:rsidR="00FF381F">
        <w:t xml:space="preserve">tribunal made a finding on the evidential record on the balance of probabilities that the “relating to” requirement of Article 1101 </w:t>
      </w:r>
      <w:r w:rsidR="00AD55AA">
        <w:t>was not met in relation to the amended case</w:t>
      </w:r>
      <w:r w:rsidR="00940558">
        <w:t xml:space="preserve">, with the result that the USA succeeded on its jurisdictional </w:t>
      </w:r>
      <w:proofErr w:type="gramStart"/>
      <w:r w:rsidR="00940558">
        <w:t>challenge, and</w:t>
      </w:r>
      <w:proofErr w:type="gramEnd"/>
      <w:r w:rsidR="00940558">
        <w:t xml:space="preserve"> would have succeed</w:t>
      </w:r>
      <w:r w:rsidR="00E21429">
        <w:t>ed</w:t>
      </w:r>
      <w:r w:rsidR="00940558">
        <w:t xml:space="preserve"> on the merits. Although the Judge does not say so expressly, th</w:t>
      </w:r>
      <w:r w:rsidR="00552B28">
        <w:t xml:space="preserve">is indicates that the tribunal did ultimately </w:t>
      </w:r>
      <w:r w:rsidR="00F26C46">
        <w:t xml:space="preserve">regard Article 1101 as jurisdictional </w:t>
      </w:r>
      <w:r w:rsidR="003F2D7E">
        <w:t>as that concept is recognised in s</w:t>
      </w:r>
      <w:r w:rsidR="007C5503">
        <w:t xml:space="preserve">ection </w:t>
      </w:r>
      <w:r w:rsidR="003F2D7E">
        <w:t xml:space="preserve">30 </w:t>
      </w:r>
      <w:r w:rsidR="00552B28">
        <w:t>of the 1996 Act</w:t>
      </w:r>
      <w:r w:rsidR="00372667">
        <w:t>. Its approach in the Partial Award</w:t>
      </w:r>
      <w:r w:rsidR="008C7542">
        <w:t xml:space="preserve">, by consent, was only partially to determine that issue of jurisdiction. </w:t>
      </w:r>
      <w:r w:rsidR="00372667">
        <w:t xml:space="preserve"> </w:t>
      </w:r>
      <w:r w:rsidR="00552B28">
        <w:t xml:space="preserve">    </w:t>
      </w:r>
      <w:r w:rsidR="00940558">
        <w:t xml:space="preserve"> </w:t>
      </w:r>
      <w:r w:rsidR="00AD55AA">
        <w:t xml:space="preserve"> </w:t>
      </w:r>
    </w:p>
    <w:p w14:paraId="4543C1F8" w14:textId="771A5479" w:rsidR="00F54517" w:rsidRDefault="000303B0" w:rsidP="00130DB4">
      <w:pPr>
        <w:pStyle w:val="ParaLevel1"/>
      </w:pPr>
      <w:r>
        <w:t xml:space="preserve">At [59] the Judge </w:t>
      </w:r>
      <w:r w:rsidR="00480C7F">
        <w:t>referred to another ITA award as follows:</w:t>
      </w:r>
    </w:p>
    <w:p w14:paraId="304D4930" w14:textId="77777777" w:rsidR="0002701F" w:rsidRDefault="0002701F" w:rsidP="00130DB4">
      <w:pPr>
        <w:pStyle w:val="ParaLevel1"/>
        <w:numPr>
          <w:ilvl w:val="0"/>
          <w:numId w:val="0"/>
        </w:numPr>
        <w:ind w:left="1418" w:right="851"/>
      </w:pPr>
      <w:r>
        <w:t xml:space="preserve">“The same analysis of Article 1101 was adopted by another distinguished tribunal in </w:t>
      </w:r>
      <w:r w:rsidRPr="008B7ADD">
        <w:rPr>
          <w:i/>
          <w:iCs/>
        </w:rPr>
        <w:t>Bayview Irrigation District et al v United Mexican States</w:t>
      </w:r>
      <w:r>
        <w:t xml:space="preserve"> ICSID Case No ARB(AF)/05/01, Award of 19 June </w:t>
      </w:r>
      <w:r>
        <w:lastRenderedPageBreak/>
        <w:t xml:space="preserve">2007 (Lowe, Gomez-Palacio, Meese). At [84], the tribunal quoted Article 1101 of NAFTA, before stating at [85]: </w:t>
      </w:r>
    </w:p>
    <w:p w14:paraId="3277B794" w14:textId="0D38F9EA" w:rsidR="00480C7F" w:rsidRDefault="0002701F" w:rsidP="00130DB4">
      <w:pPr>
        <w:pStyle w:val="ParaLevel1"/>
        <w:numPr>
          <w:ilvl w:val="0"/>
          <w:numId w:val="0"/>
        </w:numPr>
        <w:ind w:left="1701" w:right="1134"/>
      </w:pPr>
      <w:r>
        <w:t>“The role of Article 1101 in determining the scope of the jurisdiction of tribunals established to hear Chapter Eleven claims is clear from the title of the Article. It defines the 'scope and coverage' of the entirety of Chapter Eleven, including both the scope and coverage of the substantive protections accorded to investors and investments by Chapter Eleven Section A and the scope of the rights to submit disputes to arbitration under Chapter Eleven Section B.”</w:t>
      </w:r>
      <w:r w:rsidR="00D87722">
        <w:t>”</w:t>
      </w:r>
    </w:p>
    <w:p w14:paraId="47635F8C" w14:textId="209EF319" w:rsidR="00F54517" w:rsidRDefault="00C619CE" w:rsidP="00130DB4">
      <w:pPr>
        <w:pStyle w:val="ParaLevel1"/>
      </w:pPr>
      <w:r>
        <w:t xml:space="preserve">At [60] to [63] the Judge referred to </w:t>
      </w:r>
      <w:r w:rsidR="00E25D1F" w:rsidRPr="00E25D1F">
        <w:rPr>
          <w:i/>
          <w:iCs/>
        </w:rPr>
        <w:t>The Canadian Cattlemen for Fair Trade v USA</w:t>
      </w:r>
      <w:r w:rsidR="00E25D1F">
        <w:t xml:space="preserve"> Award on Jurisdiction, 28 January 2008 (Böckstiegel, Bacchus, Low), </w:t>
      </w:r>
      <w:r w:rsidR="003247CA" w:rsidRPr="003247CA">
        <w:rPr>
          <w:i/>
          <w:iCs/>
        </w:rPr>
        <w:t>Grand River Enterprises v USA</w:t>
      </w:r>
      <w:r w:rsidR="003247CA">
        <w:t xml:space="preserve"> Award</w:t>
      </w:r>
      <w:r w:rsidR="008F3401">
        <w:t>,</w:t>
      </w:r>
      <w:r w:rsidR="003247CA">
        <w:t xml:space="preserve"> 12 January 2011 (Nariman, Anaya, Crook) and </w:t>
      </w:r>
      <w:r w:rsidR="006E2AFB" w:rsidRPr="006E2AFB">
        <w:rPr>
          <w:i/>
          <w:iCs/>
        </w:rPr>
        <w:t>Apotex Inc v USA</w:t>
      </w:r>
      <w:r w:rsidR="006E2AFB">
        <w:t xml:space="preserve"> Award on Jurisdiction and Admissibility, 14 June 2013 (Smith, Davidson, Landau), each a</w:t>
      </w:r>
      <w:r w:rsidR="00433EA8">
        <w:t xml:space="preserve">n ITA award </w:t>
      </w:r>
      <w:r w:rsidR="006E2AFB">
        <w:t xml:space="preserve">on jurisdiction </w:t>
      </w:r>
      <w:r w:rsidR="00433EA8">
        <w:t xml:space="preserve">under Chapter 11 of NAFTA </w:t>
      </w:r>
      <w:r w:rsidR="00426833">
        <w:t xml:space="preserve">and each </w:t>
      </w:r>
      <w:r w:rsidR="00433EA8">
        <w:t xml:space="preserve">following the approach in </w:t>
      </w:r>
      <w:r w:rsidR="00433EA8">
        <w:rPr>
          <w:i/>
          <w:iCs/>
        </w:rPr>
        <w:t>Meth</w:t>
      </w:r>
      <w:r w:rsidR="008A034F">
        <w:rPr>
          <w:i/>
          <w:iCs/>
        </w:rPr>
        <w:t>a</w:t>
      </w:r>
      <w:r w:rsidR="00433EA8">
        <w:rPr>
          <w:i/>
          <w:iCs/>
        </w:rPr>
        <w:t>nex</w:t>
      </w:r>
      <w:r w:rsidR="00426833">
        <w:t xml:space="preserve">. </w:t>
      </w:r>
    </w:p>
    <w:p w14:paraId="12DC4872" w14:textId="4F09778B" w:rsidR="00F54517" w:rsidRDefault="00426833" w:rsidP="00130DB4">
      <w:pPr>
        <w:pStyle w:val="ParaLevel1"/>
      </w:pPr>
      <w:r>
        <w:t xml:space="preserve">The Judge </w:t>
      </w:r>
      <w:r w:rsidR="007977ED">
        <w:t xml:space="preserve">accepted </w:t>
      </w:r>
      <w:r w:rsidR="005A0434">
        <w:t xml:space="preserve">at [63] </w:t>
      </w:r>
      <w:r w:rsidR="007977ED">
        <w:t xml:space="preserve">that </w:t>
      </w:r>
      <w:r w:rsidR="00655CA1">
        <w:t>these decision</w:t>
      </w:r>
      <w:r w:rsidR="00C07375">
        <w:t>s</w:t>
      </w:r>
      <w:r w:rsidR="00655CA1">
        <w:t xml:space="preserve"> adopt</w:t>
      </w:r>
      <w:r w:rsidR="005A0434">
        <w:t>ed</w:t>
      </w:r>
      <w:r w:rsidR="00655CA1">
        <w:t xml:space="preserve"> the same interpretation </w:t>
      </w:r>
      <w:r w:rsidR="006A4B40">
        <w:t xml:space="preserve">of Article 1101 of NAFTA which Korea asked him to </w:t>
      </w:r>
      <w:r w:rsidR="005A0434">
        <w:t xml:space="preserve">adopt for Article 11.1(1) of the Treaty, and he </w:t>
      </w:r>
      <w:r>
        <w:t xml:space="preserve">recognised the force of the </w:t>
      </w:r>
      <w:r w:rsidR="005E0221">
        <w:t>consistent views of distinguished international arbitral tribunals</w:t>
      </w:r>
      <w:r w:rsidR="00BB33EB">
        <w:t>.</w:t>
      </w:r>
      <w:r w:rsidR="007977ED">
        <w:t xml:space="preserve"> </w:t>
      </w:r>
      <w:r w:rsidR="009E39AE">
        <w:t xml:space="preserve">He was nonetheless </w:t>
      </w:r>
      <w:r w:rsidR="0095192D">
        <w:t xml:space="preserve">not persuaded </w:t>
      </w:r>
      <w:r w:rsidR="00E43F16">
        <w:t xml:space="preserve">to adopt </w:t>
      </w:r>
      <w:r w:rsidR="001D1278">
        <w:t xml:space="preserve">the same interpretation, noting that there did not appear to have been any argument </w:t>
      </w:r>
      <w:r w:rsidR="00197DF7">
        <w:t xml:space="preserve">on the point before the tribunals, that there were </w:t>
      </w:r>
      <w:r w:rsidR="00C259A5">
        <w:t>other routes to the same jurisdictional result</w:t>
      </w:r>
      <w:r w:rsidR="00B251A8">
        <w:t xml:space="preserve"> and that NAFTA did not provide for arbitration in relation to breaches of investment authori</w:t>
      </w:r>
      <w:r w:rsidR="008A034F">
        <w:t>z</w:t>
      </w:r>
      <w:r w:rsidR="00B251A8">
        <w:t xml:space="preserve">ations and investment agreements </w:t>
      </w:r>
      <w:r w:rsidR="007F6025">
        <w:t>as provided for in Article 11.16(1)(a)(i)(B) and (C) and (b)(i)(B) and (C) of the Treaty.</w:t>
      </w:r>
      <w:r w:rsidR="00477D3B">
        <w:t xml:space="preserve"> Nor does NAFTA contain equivalent provisions to Article 11.22 of the Treaty. </w:t>
      </w:r>
      <w:r w:rsidR="007F6025">
        <w:t xml:space="preserve"> </w:t>
      </w:r>
    </w:p>
    <w:p w14:paraId="6F4EFF6E" w14:textId="3D811C4F" w:rsidR="00F54517" w:rsidRDefault="00014287" w:rsidP="00130DB4">
      <w:pPr>
        <w:pStyle w:val="ParaLevel1"/>
      </w:pPr>
      <w:r>
        <w:t xml:space="preserve">At [64] the Judge recognised that the same </w:t>
      </w:r>
      <w:r w:rsidR="00D239AC">
        <w:t>points could not be made in relation to two award</w:t>
      </w:r>
      <w:r w:rsidR="00A008E4">
        <w:t>s</w:t>
      </w:r>
      <w:r w:rsidR="00D239AC">
        <w:t xml:space="preserve"> under the Treaty</w:t>
      </w:r>
      <w:r w:rsidR="000733B6">
        <w:t xml:space="preserve">, the first being </w:t>
      </w:r>
      <w:r w:rsidR="000733B6" w:rsidRPr="000733B6">
        <w:rPr>
          <w:i/>
          <w:iCs/>
        </w:rPr>
        <w:t xml:space="preserve">Mason Capital LP v Republic of Korea </w:t>
      </w:r>
      <w:r w:rsidR="000733B6">
        <w:t>Final Award</w:t>
      </w:r>
      <w:r w:rsidR="008A034F">
        <w:t>,</w:t>
      </w:r>
      <w:r w:rsidR="000733B6">
        <w:t xml:space="preserve"> 11 April 2024 (Sachs, Gloster, Mayer)</w:t>
      </w:r>
      <w:r w:rsidR="00473D36">
        <w:t xml:space="preserve"> and </w:t>
      </w:r>
      <w:r w:rsidR="00AF189A">
        <w:t xml:space="preserve">the Award in the present case. </w:t>
      </w:r>
      <w:r w:rsidR="00B91B7B">
        <w:t>However, w</w:t>
      </w:r>
      <w:r w:rsidR="00AF189A">
        <w:t xml:space="preserve">hilst both </w:t>
      </w:r>
      <w:r w:rsidR="007450CC">
        <w:t xml:space="preserve">the tribunal in </w:t>
      </w:r>
      <w:r w:rsidR="007450CC">
        <w:rPr>
          <w:i/>
          <w:iCs/>
        </w:rPr>
        <w:t xml:space="preserve">Mason </w:t>
      </w:r>
      <w:r w:rsidR="007450CC">
        <w:t xml:space="preserve">and the Tribunal in this case treated Article 11.1(1) as </w:t>
      </w:r>
      <w:r w:rsidR="009461CE">
        <w:t xml:space="preserve">creating a “jurisdictional filter”, the Judge </w:t>
      </w:r>
      <w:r w:rsidR="00CA749C">
        <w:t>noted that there was no argument on the point, which was without practical consequ</w:t>
      </w:r>
      <w:r w:rsidR="00AC73B0">
        <w:t xml:space="preserve">ence. He therefore viewed them as of little assistance. </w:t>
      </w:r>
      <w:r w:rsidR="00DD39AE">
        <w:t xml:space="preserve">This aspect of the Award in </w:t>
      </w:r>
      <w:r w:rsidR="00DD39AE">
        <w:rPr>
          <w:i/>
          <w:iCs/>
        </w:rPr>
        <w:t xml:space="preserve">Mason </w:t>
      </w:r>
      <w:r w:rsidR="00DD39AE">
        <w:t xml:space="preserve">was, in any event, recently reviewed by the Singapore International Commercial Court (“the SICC”), a decision I consider below.  </w:t>
      </w:r>
      <w:r w:rsidR="009461CE">
        <w:t xml:space="preserve"> </w:t>
      </w:r>
      <w:r w:rsidR="007450CC">
        <w:t xml:space="preserve"> </w:t>
      </w:r>
    </w:p>
    <w:p w14:paraId="5C65E39D" w14:textId="4FC786E9" w:rsidR="002F4D9F" w:rsidRDefault="002F4D9F" w:rsidP="00130DB4">
      <w:pPr>
        <w:pStyle w:val="ParaLevel1"/>
      </w:pPr>
      <w:r>
        <w:t>The Judge further re</w:t>
      </w:r>
      <w:r w:rsidR="00225964">
        <w:t xml:space="preserve">jected Korea’s argument </w:t>
      </w:r>
      <w:r w:rsidR="000D32EB">
        <w:t xml:space="preserve">that the NAFTA awards (and a 2006 </w:t>
      </w:r>
      <w:r w:rsidR="00D45B3E">
        <w:t>c</w:t>
      </w:r>
      <w:r w:rsidR="000D32EB">
        <w:t>ommentary probably ref</w:t>
      </w:r>
      <w:r w:rsidR="000D4675">
        <w:t>erencing the decisions in</w:t>
      </w:r>
      <w:r w:rsidR="000D32EB">
        <w:t xml:space="preserve"> </w:t>
      </w:r>
      <w:r w:rsidR="000D32EB">
        <w:rPr>
          <w:i/>
          <w:iCs/>
        </w:rPr>
        <w:t>Methenex</w:t>
      </w:r>
      <w:r w:rsidR="000D32EB">
        <w:t xml:space="preserve">) </w:t>
      </w:r>
      <w:r w:rsidR="00054A6E">
        <w:t>were not merely persuasive but constituted “supplementary means of interpretation</w:t>
      </w:r>
      <w:r w:rsidR="00774CA4">
        <w:t>”</w:t>
      </w:r>
      <w:r w:rsidR="00054A6E">
        <w:t xml:space="preserve"> </w:t>
      </w:r>
      <w:r w:rsidR="00022023">
        <w:t>including as part of “the circumstances of [the Treaty’s] conclusion”</w:t>
      </w:r>
      <w:r w:rsidR="00054A6E">
        <w:t xml:space="preserve"> </w:t>
      </w:r>
      <w:r w:rsidR="00774CA4">
        <w:t>within the meaning of Ar</w:t>
      </w:r>
      <w:r w:rsidR="00414691">
        <w:t xml:space="preserve">ticle 32 of the VCLT. </w:t>
      </w:r>
      <w:r>
        <w:t xml:space="preserve"> </w:t>
      </w:r>
      <w:r w:rsidR="00922A35">
        <w:t xml:space="preserve">At [68] the Judge explained his view that </w:t>
      </w:r>
      <w:r w:rsidR="00293F4E">
        <w:t xml:space="preserve">the only decision which </w:t>
      </w:r>
      <w:r w:rsidR="0042527F">
        <w:t xml:space="preserve">was in public circulation and available to inform the drafting process of the Treaty was </w:t>
      </w:r>
      <w:r w:rsidR="0042527F">
        <w:rPr>
          <w:i/>
          <w:iCs/>
        </w:rPr>
        <w:t xml:space="preserve">Methenex. </w:t>
      </w:r>
      <w:r w:rsidR="002B7C69">
        <w:t>He considered that the interpretation adopted by one tribunal in a dispute involving one State</w:t>
      </w:r>
      <w:r w:rsidR="00EC50CF">
        <w:t xml:space="preserve"> relating to a different treaty</w:t>
      </w:r>
      <w:r w:rsidR="00FD2A06">
        <w:t>,</w:t>
      </w:r>
      <w:r w:rsidR="00EC50CF">
        <w:t xml:space="preserve"> where there does not appear to have been argument on the issue</w:t>
      </w:r>
      <w:r w:rsidR="00FD2A06">
        <w:t>, cannot realistically be said to establish a “meaning generally ascribed to [a] term by the broader international community of States” or represent a “surrounding circumstance</w:t>
      </w:r>
      <w:r w:rsidR="00B6452B">
        <w:t>”</w:t>
      </w:r>
      <w:r w:rsidR="00FD2A06">
        <w:t xml:space="preserve"> of a kind which can meaningfully inform the </w:t>
      </w:r>
      <w:r w:rsidR="00FD2A06">
        <w:lastRenderedPageBreak/>
        <w:t>interpretation of the Treaty or be said to reveal the parties’ shared under</w:t>
      </w:r>
      <w:r w:rsidR="00B6452B">
        <w:t>standing of its terms.</w:t>
      </w:r>
      <w:r w:rsidR="00922A35">
        <w:t xml:space="preserve"> </w:t>
      </w:r>
    </w:p>
    <w:p w14:paraId="186807DD" w14:textId="73520EE6" w:rsidR="006D45B7" w:rsidRDefault="00F2178A" w:rsidP="00130DB4">
      <w:pPr>
        <w:pStyle w:val="ParaLevel1"/>
      </w:pPr>
      <w:r>
        <w:t xml:space="preserve">In the light of the above reasoning, the Judge came </w:t>
      </w:r>
      <w:r w:rsidR="00BD3B1C">
        <w:t xml:space="preserve">to the clear view, summarised at [69], that the requirements in </w:t>
      </w:r>
      <w:r w:rsidR="00774EF6">
        <w:t>Article</w:t>
      </w:r>
      <w:r w:rsidR="00BD3B1C">
        <w:t xml:space="preserve"> 11.1(1) do not  </w:t>
      </w:r>
      <w:r w:rsidR="001F7AC2">
        <w:t>constitute a limitation to the offer to arbitrate in Article 11.16, and, accordingly, that the issues which Korea seeks to raise by reference to Article 11.1(1) are not jurisdictional for the purposes of s</w:t>
      </w:r>
      <w:r w:rsidR="00B843C8">
        <w:t xml:space="preserve">ections </w:t>
      </w:r>
      <w:r w:rsidR="001F7AC2">
        <w:t>30(1) and 67 of the 1996 Act.</w:t>
      </w:r>
      <w:r w:rsidR="00A9218E">
        <w:t xml:space="preserve"> </w:t>
      </w:r>
    </w:p>
    <w:p w14:paraId="3D1F195A" w14:textId="37075E4F" w:rsidR="00F54517" w:rsidRDefault="006D45B7" w:rsidP="00130DB4">
      <w:pPr>
        <w:pStyle w:val="ParaLevel1"/>
      </w:pPr>
      <w:r>
        <w:t xml:space="preserve">The Judge considered whether to </w:t>
      </w:r>
      <w:r w:rsidR="00CE5B59">
        <w:t xml:space="preserve">rule on the merits of </w:t>
      </w:r>
      <w:r w:rsidR="0054048C">
        <w:t>Korea’s challenge</w:t>
      </w:r>
      <w:r w:rsidR="00CE5B59">
        <w:t xml:space="preserve"> </w:t>
      </w:r>
      <w:r w:rsidR="00FB78D2">
        <w:t>o</w:t>
      </w:r>
      <w:r w:rsidR="00CE5B59">
        <w:t>n a contingent basis</w:t>
      </w:r>
      <w:r w:rsidR="00AC243E">
        <w:t xml:space="preserve"> but </w:t>
      </w:r>
      <w:r>
        <w:t>decided at [79] that it was inappr</w:t>
      </w:r>
      <w:r w:rsidR="00565748">
        <w:t>o</w:t>
      </w:r>
      <w:r>
        <w:t>pri</w:t>
      </w:r>
      <w:r w:rsidR="007C4CB1">
        <w:t>a</w:t>
      </w:r>
      <w:r>
        <w:t xml:space="preserve">te to do so </w:t>
      </w:r>
      <w:r w:rsidR="007A6D4A">
        <w:t xml:space="preserve">and </w:t>
      </w:r>
      <w:r w:rsidR="003E0CC1">
        <w:t xml:space="preserve">simply </w:t>
      </w:r>
      <w:r w:rsidR="00AC243E">
        <w:t>dismiss</w:t>
      </w:r>
      <w:r w:rsidR="00FF077F">
        <w:t>ed</w:t>
      </w:r>
      <w:r w:rsidR="00AC243E">
        <w:t xml:space="preserve"> the s</w:t>
      </w:r>
      <w:r w:rsidR="008A034F">
        <w:t xml:space="preserve">ection </w:t>
      </w:r>
      <w:r w:rsidR="00AC243E">
        <w:t xml:space="preserve">67 application. </w:t>
      </w:r>
      <w:r w:rsidR="0054048C">
        <w:t xml:space="preserve"> </w:t>
      </w:r>
      <w:r w:rsidR="00F2178A">
        <w:t xml:space="preserve"> </w:t>
      </w:r>
    </w:p>
    <w:p w14:paraId="18C22C29" w14:textId="0B4378A7" w:rsidR="00161B6B" w:rsidRPr="00161B6B" w:rsidRDefault="00161B6B" w:rsidP="00130DB4">
      <w:pPr>
        <w:pStyle w:val="ParaLevel1"/>
        <w:numPr>
          <w:ilvl w:val="0"/>
          <w:numId w:val="0"/>
        </w:numPr>
        <w:rPr>
          <w:b/>
          <w:bCs/>
        </w:rPr>
      </w:pPr>
      <w:r>
        <w:rPr>
          <w:b/>
          <w:bCs/>
        </w:rPr>
        <w:t xml:space="preserve">The </w:t>
      </w:r>
      <w:r w:rsidR="00D86C77">
        <w:rPr>
          <w:b/>
          <w:bCs/>
        </w:rPr>
        <w:t>decision in Republic of Korea</w:t>
      </w:r>
      <w:r w:rsidR="0098411A">
        <w:rPr>
          <w:b/>
          <w:bCs/>
        </w:rPr>
        <w:t xml:space="preserve"> v Mason Capital L.P</w:t>
      </w:r>
      <w:r w:rsidR="0053042B">
        <w:rPr>
          <w:b/>
          <w:bCs/>
        </w:rPr>
        <w:t xml:space="preserve">. </w:t>
      </w:r>
      <w:r w:rsidR="00D86C77">
        <w:rPr>
          <w:b/>
          <w:bCs/>
        </w:rPr>
        <w:t xml:space="preserve"> </w:t>
      </w:r>
    </w:p>
    <w:p w14:paraId="7DBE09F4" w14:textId="349ECDA4" w:rsidR="00097B00" w:rsidRDefault="00A67796" w:rsidP="00130DB4">
      <w:pPr>
        <w:pStyle w:val="ParaLevel1"/>
      </w:pPr>
      <w:r>
        <w:t>It is convenient to note at this point that o</w:t>
      </w:r>
      <w:r w:rsidR="005C5D05">
        <w:t xml:space="preserve">n 20 March </w:t>
      </w:r>
      <w:r w:rsidR="00BF54E6">
        <w:t>2025</w:t>
      </w:r>
      <w:r w:rsidR="00685A38">
        <w:t>, one week after the hearing of this appeal,</w:t>
      </w:r>
      <w:r w:rsidR="00BF54E6">
        <w:t xml:space="preserve"> the </w:t>
      </w:r>
      <w:r w:rsidR="008648F7">
        <w:t>SICC</w:t>
      </w:r>
      <w:r w:rsidR="00BF54E6">
        <w:t xml:space="preserve"> </w:t>
      </w:r>
      <w:r w:rsidR="00375A02">
        <w:t xml:space="preserve">gave judgment in </w:t>
      </w:r>
      <w:r w:rsidR="0053042B" w:rsidRPr="0053042B">
        <w:rPr>
          <w:i/>
          <w:iCs/>
        </w:rPr>
        <w:t>Republic of Korea v Mason Capital L.P</w:t>
      </w:r>
      <w:r w:rsidR="0053042B">
        <w:rPr>
          <w:i/>
          <w:iCs/>
        </w:rPr>
        <w:t xml:space="preserve">. </w:t>
      </w:r>
      <w:r w:rsidR="0053042B">
        <w:t>[2025] SGHC(I) 9</w:t>
      </w:r>
      <w:r w:rsidR="00562197">
        <w:t xml:space="preserve">, a first instance judgment </w:t>
      </w:r>
      <w:r w:rsidR="00DD39AE">
        <w:t xml:space="preserve">(equivalent to the decision of the Judge in the present case) </w:t>
      </w:r>
      <w:r w:rsidR="00562197">
        <w:t>on a</w:t>
      </w:r>
      <w:r w:rsidR="00790BA4">
        <w:t>n</w:t>
      </w:r>
      <w:r w:rsidR="00562197">
        <w:t xml:space="preserve"> application </w:t>
      </w:r>
      <w:r w:rsidR="00790BA4">
        <w:t xml:space="preserve">to set aside </w:t>
      </w:r>
      <w:r w:rsidR="00DD39AE">
        <w:t xml:space="preserve">on jurisdictional grounds the </w:t>
      </w:r>
      <w:r w:rsidR="00790BA4">
        <w:t>arbitration award under the Treaty</w:t>
      </w:r>
      <w:r w:rsidR="00DD39AE">
        <w:t xml:space="preserve"> referred to in paragraph 40 above. </w:t>
      </w:r>
      <w:r w:rsidR="00DF11B5">
        <w:t xml:space="preserve"> </w:t>
      </w:r>
    </w:p>
    <w:p w14:paraId="01ED6E90" w14:textId="30C35DB4" w:rsidR="00161B6B" w:rsidRDefault="00097B00" w:rsidP="00130DB4">
      <w:pPr>
        <w:pStyle w:val="ParaLevel1"/>
      </w:pPr>
      <w:r>
        <w:t xml:space="preserve">In </w:t>
      </w:r>
      <w:r w:rsidR="00276C36">
        <w:rPr>
          <w:i/>
          <w:iCs/>
        </w:rPr>
        <w:t xml:space="preserve">Mason </w:t>
      </w:r>
      <w:r w:rsidR="00933F60">
        <w:t xml:space="preserve">Korea advanced </w:t>
      </w:r>
      <w:r w:rsidR="00520048">
        <w:t xml:space="preserve">the same argument, namely, that </w:t>
      </w:r>
      <w:r w:rsidR="00EB733A">
        <w:t>the requirements of Article 11.1(1) of the Treaty were conditions of the offer to arbitrate</w:t>
      </w:r>
      <w:r w:rsidR="00542806">
        <w:t xml:space="preserve"> in Section B and so were </w:t>
      </w:r>
      <w:r w:rsidR="0061121D">
        <w:t xml:space="preserve">subject to re-argument by way of jurisdictional </w:t>
      </w:r>
      <w:r w:rsidR="00542806">
        <w:t xml:space="preserve">challenge </w:t>
      </w:r>
      <w:r w:rsidR="0061121D">
        <w:t>in a supervisory court.</w:t>
      </w:r>
      <w:r w:rsidR="000E08D7">
        <w:t xml:space="preserve"> </w:t>
      </w:r>
      <w:r w:rsidR="00DF3962">
        <w:t xml:space="preserve">After referring to the Judge’s </w:t>
      </w:r>
      <w:r w:rsidR="0024151A">
        <w:t>decision</w:t>
      </w:r>
      <w:r w:rsidR="00B908FF">
        <w:t xml:space="preserve"> in this case</w:t>
      </w:r>
      <w:r w:rsidR="007A43F4">
        <w:t xml:space="preserve">, </w:t>
      </w:r>
      <w:r w:rsidR="00B908FF">
        <w:t xml:space="preserve">the </w:t>
      </w:r>
      <w:r w:rsidR="008648F7">
        <w:t>SICC</w:t>
      </w:r>
      <w:r w:rsidR="0024151A">
        <w:t xml:space="preserve"> </w:t>
      </w:r>
      <w:r w:rsidR="00F125C0">
        <w:t>rejected Korea’s argument</w:t>
      </w:r>
      <w:r w:rsidR="009B2F29">
        <w:t xml:space="preserve">, effectively following </w:t>
      </w:r>
      <w:r w:rsidR="00A67796">
        <w:t>his</w:t>
      </w:r>
      <w:r w:rsidR="009B2F29">
        <w:t xml:space="preserve"> reasoning</w:t>
      </w:r>
      <w:r w:rsidR="00A67796">
        <w:t>:</w:t>
      </w:r>
    </w:p>
    <w:p w14:paraId="03AD4351" w14:textId="1FDEF852" w:rsidR="00A935FC" w:rsidRDefault="00FB5BA4" w:rsidP="00130DB4">
      <w:pPr>
        <w:pStyle w:val="ParaLevel1"/>
        <w:numPr>
          <w:ilvl w:val="0"/>
          <w:numId w:val="0"/>
        </w:numPr>
        <w:ind w:left="1418" w:right="851"/>
      </w:pPr>
      <w:r>
        <w:t>“</w:t>
      </w:r>
      <w:r w:rsidR="00A935FC" w:rsidRPr="001F441F">
        <w:t>41.</w:t>
      </w:r>
      <w:r w:rsidR="00A9502E">
        <w:t xml:space="preserve"> </w:t>
      </w:r>
      <w:r w:rsidR="00A935FC" w:rsidRPr="001F441F">
        <w:t xml:space="preserve">In our view, the ordinary meaning of Chapter 11 and in particular Arts 11.1 and 11.16, determined in the contextual and purposive manner mandated by Art 31 of the VCLT, is that the statement in Art 11.1 that the chapter applies to “measures … relating to” investors of the other party does not operate as a jurisdictional requirement or as a limitation to each party’s standing unilateral offer to arbitrate disputes under Chapter 11, made to investors of the other party. There are two principal reasons for our conclusion. These reasons concern first the function the respective articles play and second the arrangement of similar articles in the context of the </w:t>
      </w:r>
      <w:proofErr w:type="gramStart"/>
      <w:r w:rsidR="00A935FC" w:rsidRPr="001F441F">
        <w:t>treaty as a whole</w:t>
      </w:r>
      <w:proofErr w:type="gramEnd"/>
      <w:r w:rsidR="00A935FC" w:rsidRPr="001F441F">
        <w:t xml:space="preserve">. </w:t>
      </w:r>
    </w:p>
    <w:p w14:paraId="28FC1C38" w14:textId="6BE0AC94" w:rsidR="00A935FC" w:rsidRDefault="00A935FC" w:rsidP="00130DB4">
      <w:pPr>
        <w:pStyle w:val="ParaLevel1"/>
        <w:numPr>
          <w:ilvl w:val="0"/>
          <w:numId w:val="0"/>
        </w:numPr>
        <w:ind w:left="1418" w:right="851"/>
      </w:pPr>
      <w:r w:rsidRPr="001F441F">
        <w:t>42</w:t>
      </w:r>
      <w:r>
        <w:t>.</w:t>
      </w:r>
      <w:r w:rsidR="00A9502E">
        <w:t xml:space="preserve"> </w:t>
      </w:r>
      <w:r w:rsidRPr="001F441F">
        <w:t xml:space="preserve">First, there is the function each article plays within Chapter 11. Article 11.16 on its face operates as a self-contained gateway for the submission of all claims under the chapter to arbitration. This point has two aspects to it. The first is that Art 11.16 is fully workable on its own. There is no necessity arising whether from logic or workability to treat apparent limitations on the scope of each party’s substantive obligations (and thus corresponding limitations on the scope of the investor’s protections) to be found in other articles as additional jurisdictional requirements. The second point is that Art 11.16 is the gateway for the submission of all claims under Chapter 11 to arbitration. Such claims include claims in relation to breach of Section A obligations but also extend to two other types of claims, namely those for breach of an investment authorization and those for breach of </w:t>
      </w:r>
      <w:r w:rsidRPr="001F441F">
        <w:lastRenderedPageBreak/>
        <w:t xml:space="preserve">an investment agreement. Because Art 11.16 functions as a gateway for three types of claims, one would expect all jurisdictional limitations to be set out in it, especially where such limitations are specific to only one of the types of claims. Fulfilling and reinforcing this expectation, Art 11.16.1 contains in the proviso a limitation that a claim for breach of an investment agreement may be submitted “only if the subject matter of the claim and the claimed damages directly relate to the covered investment that was established or acquired … in reliance on the relevant investment </w:t>
      </w:r>
      <w:proofErr w:type="gramStart"/>
      <w:r w:rsidRPr="001F441F">
        <w:t>agreement”</w:t>
      </w:r>
      <w:r w:rsidR="007E0C55">
        <w:t>…</w:t>
      </w:r>
      <w:proofErr w:type="gramEnd"/>
      <w:r w:rsidRPr="001F441F">
        <w:t xml:space="preserve"> </w:t>
      </w:r>
    </w:p>
    <w:p w14:paraId="6AD3671C" w14:textId="75C7F437" w:rsidR="00A935FC" w:rsidRDefault="00A935FC" w:rsidP="00130DB4">
      <w:pPr>
        <w:pStyle w:val="ParaLevel1"/>
        <w:numPr>
          <w:ilvl w:val="0"/>
          <w:numId w:val="0"/>
        </w:numPr>
        <w:ind w:left="1418" w:right="851"/>
      </w:pPr>
      <w:r w:rsidRPr="001F441F">
        <w:t>43</w:t>
      </w:r>
      <w:r>
        <w:t>.</w:t>
      </w:r>
      <w:r w:rsidR="00A9502E">
        <w:t xml:space="preserve"> </w:t>
      </w:r>
      <w:r w:rsidRPr="001F441F">
        <w:t xml:space="preserve">Turning to the function of Art 11.1, on its face it describes the contents of the chapter and thus differentiates it from other chapters. Its placement within Section A supports the reading that it relates to the scope of the obligations set out in that section. </w:t>
      </w:r>
    </w:p>
    <w:p w14:paraId="4B27840C" w14:textId="3F4CE95F" w:rsidR="00A935FC" w:rsidRDefault="00A935FC" w:rsidP="00130DB4">
      <w:pPr>
        <w:pStyle w:val="ParaLevel1"/>
        <w:numPr>
          <w:ilvl w:val="0"/>
          <w:numId w:val="0"/>
        </w:numPr>
        <w:ind w:left="1418" w:right="851"/>
      </w:pPr>
      <w:r w:rsidRPr="001F441F">
        <w:t>44</w:t>
      </w:r>
      <w:r>
        <w:t>.</w:t>
      </w:r>
      <w:r w:rsidR="00A9502E">
        <w:t xml:space="preserve"> </w:t>
      </w:r>
      <w:r w:rsidRPr="001F441F">
        <w:t xml:space="preserve">Second, in our view, the function of Art 11.1 identified above accords with the context of the rest of the treaty, where some other chapters similarly start with either “Scope” or “Scope and Coverage” articles. An instructive example is Chapter 8 which concerns sanitary and phytosanitary measures. Article 8.1 sets out the measures to which the chapter applies but by Art 8.4 there is specifically no recourse to dispute settlement. Thus, a similarly worded article to Art 11.1 plays in Chapter 8 the function of merely describing that chapter without playing any role in relation to dispute settlement (because there is no recourse to dispute settlement). Contrary to ROK’s submission that Art 11.1 also imposes jurisdictional requirements for the submission of claims under Art 11.16, when an article has on a contextual reading a particular function within the arrangement of the treaty as whole, this weighs against imputing a dual or secondary function to that article. </w:t>
      </w:r>
    </w:p>
    <w:p w14:paraId="4601A955" w14:textId="5B2BC740" w:rsidR="00A935FC" w:rsidRDefault="00A935FC" w:rsidP="00130DB4">
      <w:pPr>
        <w:pStyle w:val="ParaLevel1"/>
        <w:numPr>
          <w:ilvl w:val="0"/>
          <w:numId w:val="0"/>
        </w:numPr>
        <w:ind w:left="1418" w:right="851"/>
      </w:pPr>
      <w:r w:rsidRPr="001F441F">
        <w:t>45</w:t>
      </w:r>
      <w:r>
        <w:t>.</w:t>
      </w:r>
      <w:r w:rsidR="00A9502E">
        <w:t xml:space="preserve"> </w:t>
      </w:r>
      <w:r w:rsidRPr="001F441F">
        <w:t xml:space="preserve">We would add that we do not consider that much weight should be given to the contention that an issue which is fact-sensitive is less likely to be jurisdictional in nature. Logically, it should be presumed that parties who have chosen arbitration as their method of dispute resolution will ordinarily structure how the arbitral process works to minimise the overlap between jurisdiction and the merits. This is because any points of overlap would raise the possible duplication of time and costs entailed in a de novo review by the supervisory court. However, this argument from presumed intention must yield to the text of the treaty interpreted in accordance with Arts 31 and 32 of the VCLT if the text shows otherwise. </w:t>
      </w:r>
    </w:p>
    <w:p w14:paraId="0A8AD3D6" w14:textId="37DE6DF6" w:rsidR="00A935FC" w:rsidRDefault="00A935FC" w:rsidP="00130DB4">
      <w:pPr>
        <w:pStyle w:val="ParaLevel1"/>
        <w:numPr>
          <w:ilvl w:val="0"/>
          <w:numId w:val="0"/>
        </w:numPr>
        <w:ind w:left="1418" w:right="851"/>
      </w:pPr>
      <w:r w:rsidRPr="001F441F">
        <w:t>46</w:t>
      </w:r>
      <w:r>
        <w:t>.</w:t>
      </w:r>
      <w:r w:rsidR="00B149CA">
        <w:t xml:space="preserve"> </w:t>
      </w:r>
      <w:r w:rsidRPr="001F441F">
        <w:t>Indeed, this accords with Foxton J’s statement of principle at [37(iv)] of Elliott</w:t>
      </w:r>
      <w:r w:rsidR="00373432">
        <w:t>…</w:t>
      </w:r>
      <w:r w:rsidR="00A9502E">
        <w:t>”</w:t>
      </w:r>
      <w:r w:rsidRPr="001F441F">
        <w:t xml:space="preserve"> </w:t>
      </w:r>
    </w:p>
    <w:p w14:paraId="4FD38A7C" w14:textId="4662ECAE" w:rsidR="00F54517" w:rsidRPr="003E0CC1" w:rsidRDefault="003E0CC1" w:rsidP="00130DB4">
      <w:pPr>
        <w:pStyle w:val="ParaLevel1"/>
        <w:numPr>
          <w:ilvl w:val="0"/>
          <w:numId w:val="0"/>
        </w:numPr>
        <w:rPr>
          <w:b/>
          <w:bCs/>
        </w:rPr>
      </w:pPr>
      <w:r>
        <w:rPr>
          <w:b/>
          <w:bCs/>
        </w:rPr>
        <w:t>The grounds of appeal</w:t>
      </w:r>
    </w:p>
    <w:p w14:paraId="75367DB4" w14:textId="54600BDE" w:rsidR="00F54517" w:rsidRDefault="00691A67" w:rsidP="00130DB4">
      <w:pPr>
        <w:pStyle w:val="ParaLevel1"/>
      </w:pPr>
      <w:r>
        <w:t xml:space="preserve">Korea’s principal ground of appeal </w:t>
      </w:r>
      <w:r w:rsidR="007B2242">
        <w:t>is that</w:t>
      </w:r>
      <w:r w:rsidR="003457A2">
        <w:t>, on a proper interpretation, Article 11</w:t>
      </w:r>
      <w:r w:rsidR="002C2CE1">
        <w:t>.1(1) of the Treaty set</w:t>
      </w:r>
      <w:r w:rsidR="00341368">
        <w:t xml:space="preserve">s down jurisdictional requirements which must be satisfied </w:t>
      </w:r>
      <w:proofErr w:type="gramStart"/>
      <w:r w:rsidR="00341368">
        <w:t>in order for</w:t>
      </w:r>
      <w:proofErr w:type="gramEnd"/>
      <w:r w:rsidR="00341368">
        <w:t xml:space="preserve"> there is to be a</w:t>
      </w:r>
      <w:r w:rsidR="006C627A">
        <w:t xml:space="preserve">n </w:t>
      </w:r>
      <w:r w:rsidR="00341368">
        <w:t>offer to arbitrate in</w:t>
      </w:r>
      <w:r w:rsidR="006C627A">
        <w:t xml:space="preserve"> Section B of Chapter 11</w:t>
      </w:r>
      <w:r w:rsidR="004823C3">
        <w:t xml:space="preserve"> and the Judge was wrong to hold otherwise. </w:t>
      </w:r>
      <w:r w:rsidR="006C627A">
        <w:t xml:space="preserve"> </w:t>
      </w:r>
      <w:r w:rsidR="002C2CE1">
        <w:t xml:space="preserve"> </w:t>
      </w:r>
      <w:r w:rsidR="007B2242">
        <w:t xml:space="preserve">  </w:t>
      </w:r>
    </w:p>
    <w:p w14:paraId="6C2462BD" w14:textId="0BE505DB" w:rsidR="008972B6" w:rsidRDefault="00DD7D85" w:rsidP="00130DB4">
      <w:pPr>
        <w:pStyle w:val="ParaLevel1"/>
      </w:pPr>
      <w:r>
        <w:lastRenderedPageBreak/>
        <w:t xml:space="preserve">Subsidiary to </w:t>
      </w:r>
      <w:r w:rsidR="004823C3">
        <w:t xml:space="preserve">and supporting </w:t>
      </w:r>
      <w:r>
        <w:t xml:space="preserve">that central </w:t>
      </w:r>
      <w:r w:rsidR="008972B6">
        <w:t>ground</w:t>
      </w:r>
      <w:r w:rsidR="001026A7">
        <w:t xml:space="preserve">, Korea relies on the </w:t>
      </w:r>
      <w:r w:rsidR="004823C3">
        <w:t xml:space="preserve">following two </w:t>
      </w:r>
      <w:r w:rsidR="001026A7">
        <w:t xml:space="preserve">further </w:t>
      </w:r>
      <w:r w:rsidR="008972B6">
        <w:t>arguments:</w:t>
      </w:r>
    </w:p>
    <w:p w14:paraId="6A54B994" w14:textId="77777777" w:rsidR="00431E0D" w:rsidRDefault="008972B6" w:rsidP="00130DB4">
      <w:pPr>
        <w:pStyle w:val="ParaLevel2"/>
      </w:pPr>
      <w:r>
        <w:t xml:space="preserve">First, that the Judge erred in </w:t>
      </w:r>
      <w:r w:rsidR="002957C6">
        <w:t xml:space="preserve">introducing </w:t>
      </w:r>
      <w:r w:rsidR="00431E0D">
        <w:t xml:space="preserve">into the interpretation of the Treaty </w:t>
      </w:r>
      <w:r w:rsidR="002957C6">
        <w:t xml:space="preserve">the concept of national policy </w:t>
      </w:r>
      <w:proofErr w:type="gramStart"/>
      <w:r w:rsidR="002957C6">
        <w:t>reasons</w:t>
      </w:r>
      <w:r w:rsidR="00431E0D">
        <w:t>;</w:t>
      </w:r>
      <w:proofErr w:type="gramEnd"/>
    </w:p>
    <w:p w14:paraId="6EFB18AD" w14:textId="7C57472C" w:rsidR="008972B6" w:rsidRDefault="00431E0D" w:rsidP="00130DB4">
      <w:pPr>
        <w:pStyle w:val="ParaLevel2"/>
      </w:pPr>
      <w:r>
        <w:t>Second</w:t>
      </w:r>
      <w:r w:rsidR="00432C9E">
        <w:t>, the Judge should have found that the interpretation of the Treaty for which Korea contends is supported by “supplementary means of interpretation</w:t>
      </w:r>
      <w:r w:rsidR="00AB4A0D">
        <w:t>” within the meaning of Article 32 of the VCLT</w:t>
      </w:r>
      <w:r w:rsidR="00EE747D">
        <w:t xml:space="preserve"> and that he sho</w:t>
      </w:r>
      <w:r w:rsidR="00AC1723">
        <w:t xml:space="preserve">uld have been willing to consider material later in time than the date of signature of the Treaty. </w:t>
      </w:r>
      <w:r w:rsidR="00432C9E">
        <w:t xml:space="preserve"> </w:t>
      </w:r>
      <w:r>
        <w:t xml:space="preserve"> </w:t>
      </w:r>
      <w:r w:rsidR="002957C6">
        <w:t xml:space="preserve"> </w:t>
      </w:r>
    </w:p>
    <w:p w14:paraId="035427D7" w14:textId="7A7209F5" w:rsidR="00F54517" w:rsidRPr="00D8302A" w:rsidRDefault="00F1615C" w:rsidP="00130DB4">
      <w:pPr>
        <w:pStyle w:val="ParaLevel1"/>
        <w:numPr>
          <w:ilvl w:val="0"/>
          <w:numId w:val="0"/>
        </w:numPr>
        <w:ind w:left="720" w:hanging="720"/>
        <w:rPr>
          <w:b/>
          <w:bCs/>
        </w:rPr>
      </w:pPr>
      <w:r w:rsidRPr="00D8302A">
        <w:rPr>
          <w:b/>
          <w:bCs/>
        </w:rPr>
        <w:t xml:space="preserve">The </w:t>
      </w:r>
      <w:r w:rsidR="00B80F42">
        <w:rPr>
          <w:b/>
          <w:bCs/>
        </w:rPr>
        <w:t xml:space="preserve">approach to </w:t>
      </w:r>
      <w:r w:rsidRPr="00D8302A">
        <w:rPr>
          <w:b/>
          <w:bCs/>
        </w:rPr>
        <w:t>interpret</w:t>
      </w:r>
      <w:r w:rsidR="00B80F42">
        <w:rPr>
          <w:b/>
          <w:bCs/>
        </w:rPr>
        <w:t>ing the Treaty</w:t>
      </w:r>
    </w:p>
    <w:p w14:paraId="15DBD3F0" w14:textId="561F9083" w:rsidR="0047602C" w:rsidRPr="0047602C" w:rsidRDefault="00106FD6" w:rsidP="00130DB4">
      <w:pPr>
        <w:pStyle w:val="ParaLevel1"/>
      </w:pPr>
      <w:r>
        <w:t>As the Judge recognised, the Treaty is to be inte</w:t>
      </w:r>
      <w:r w:rsidR="000C068B">
        <w:t xml:space="preserve">rpreted in </w:t>
      </w:r>
      <w:r w:rsidR="00DE0457">
        <w:t>accordance with the principles set out in the VCLT</w:t>
      </w:r>
      <w:r w:rsidR="00E17303">
        <w:t xml:space="preserve">, reflecting customary international law. </w:t>
      </w:r>
      <w:r w:rsidR="00437921">
        <w:t>Th</w:t>
      </w:r>
      <w:r w:rsidR="003B13C6">
        <w:t xml:space="preserve">e whole </w:t>
      </w:r>
      <w:r w:rsidR="0001255C">
        <w:t xml:space="preserve">point and </w:t>
      </w:r>
      <w:r w:rsidR="003B13C6">
        <w:t xml:space="preserve">purpose and effect of </w:t>
      </w:r>
      <w:r w:rsidR="00797571">
        <w:t>the Treaty is that that</w:t>
      </w:r>
      <w:r w:rsidR="00437921">
        <w:t xml:space="preserve"> </w:t>
      </w:r>
      <w:r w:rsidR="00C82BC8">
        <w:t xml:space="preserve">approach to </w:t>
      </w:r>
      <w:r w:rsidR="0059633D">
        <w:t xml:space="preserve">interpretation </w:t>
      </w:r>
      <w:r w:rsidR="006D21C9">
        <w:t xml:space="preserve">is </w:t>
      </w:r>
      <w:r w:rsidR="0001255C">
        <w:t>to</w:t>
      </w:r>
      <w:r w:rsidR="003B13C6">
        <w:t xml:space="preserve"> </w:t>
      </w:r>
      <w:r w:rsidR="0059633D">
        <w:t xml:space="preserve">be </w:t>
      </w:r>
      <w:r w:rsidR="001F0835">
        <w:t xml:space="preserve">applied </w:t>
      </w:r>
      <w:r w:rsidR="003B13C6">
        <w:t xml:space="preserve">equally and uniformly </w:t>
      </w:r>
      <w:r w:rsidR="0059633D">
        <w:t xml:space="preserve">by </w:t>
      </w:r>
      <w:r w:rsidR="0001255C">
        <w:t xml:space="preserve">the </w:t>
      </w:r>
      <w:r w:rsidR="00437921">
        <w:t>court</w:t>
      </w:r>
      <w:r w:rsidR="0001255C">
        <w:t>s</w:t>
      </w:r>
      <w:r w:rsidR="00437921">
        <w:t xml:space="preserve"> </w:t>
      </w:r>
      <w:r w:rsidR="00797571">
        <w:t>of all signatory jurisdict</w:t>
      </w:r>
      <w:r w:rsidR="00792B14">
        <w:t>i</w:t>
      </w:r>
      <w:r w:rsidR="00797571">
        <w:t>ons, including the court</w:t>
      </w:r>
      <w:r w:rsidR="00792B14">
        <w:t>s of England</w:t>
      </w:r>
      <w:r w:rsidR="005D058D">
        <w:t xml:space="preserve"> and</w:t>
      </w:r>
      <w:r w:rsidR="00792B14">
        <w:t xml:space="preserve"> Wales</w:t>
      </w:r>
      <w:r w:rsidR="00797571">
        <w:t xml:space="preserve">, </w:t>
      </w:r>
      <w:r w:rsidR="003D2089">
        <w:t xml:space="preserve">it being plainly desirable that </w:t>
      </w:r>
      <w:r w:rsidR="00336B29">
        <w:t>a treaty is interpreted consistently across jurisdictions</w:t>
      </w:r>
      <w:r w:rsidR="00306DC7">
        <w:t xml:space="preserve">. As Lord Hope stated in </w:t>
      </w:r>
      <w:r w:rsidR="0047602C" w:rsidRPr="00306DC7">
        <w:rPr>
          <w:i/>
          <w:iCs/>
        </w:rPr>
        <w:t xml:space="preserve">Islam v Secretary of State for the Home Department </w:t>
      </w:r>
      <w:r w:rsidR="0047602C" w:rsidRPr="0047602C">
        <w:t>[1999] 2 AC 629, 657A-B:</w:t>
      </w:r>
    </w:p>
    <w:p w14:paraId="761F6993" w14:textId="47D3E173" w:rsidR="00F54517" w:rsidRDefault="0047602C" w:rsidP="00130DB4">
      <w:pPr>
        <w:pStyle w:val="ParaLevel1"/>
        <w:numPr>
          <w:ilvl w:val="0"/>
          <w:numId w:val="0"/>
        </w:numPr>
        <w:ind w:left="1418" w:right="851"/>
      </w:pPr>
      <w:r w:rsidRPr="0047602C">
        <w:rPr>
          <w:szCs w:val="24"/>
        </w:rPr>
        <w:t>“As a general rule it is desirable that international treaties should be interpreted by the courts of all the states uniformly.</w:t>
      </w:r>
      <w:r w:rsidR="008C4FF7" w:rsidRPr="008C4FF7">
        <w:t xml:space="preserve"> </w:t>
      </w:r>
      <w:r w:rsidR="008C4FF7">
        <w:t>So, if it could be said that a uniform interpretation of this phrase was to be found in the authorities, I would regard it as appropriate that we should follow it.</w:t>
      </w:r>
      <w:r w:rsidR="005D058D">
        <w:t>”</w:t>
      </w:r>
    </w:p>
    <w:p w14:paraId="6C5BE89F" w14:textId="55DD69EC" w:rsidR="00F54517" w:rsidRDefault="00AB2948" w:rsidP="00130DB4">
      <w:pPr>
        <w:pStyle w:val="ParaLevel1"/>
      </w:pPr>
      <w:r>
        <w:t xml:space="preserve">It is therefore </w:t>
      </w:r>
      <w:r w:rsidR="00877EE7">
        <w:t xml:space="preserve">unclear what scope there is for the </w:t>
      </w:r>
      <w:r w:rsidR="00353826">
        <w:t xml:space="preserve">English court to </w:t>
      </w:r>
      <w:r w:rsidR="00E06D85">
        <w:t xml:space="preserve">consider issues of </w:t>
      </w:r>
      <w:r w:rsidR="00E06D85">
        <w:rPr>
          <w:i/>
          <w:iCs/>
        </w:rPr>
        <w:t xml:space="preserve">national </w:t>
      </w:r>
      <w:r w:rsidR="00E06D85">
        <w:t xml:space="preserve">policy, as </w:t>
      </w:r>
      <w:r w:rsidR="00CC39B2">
        <w:t xml:space="preserve">suggested by the Judge at [28], when considering whether </w:t>
      </w:r>
      <w:r w:rsidR="00AC4B0B">
        <w:t xml:space="preserve">and to what extent </w:t>
      </w:r>
      <w:r w:rsidR="00CC39B2">
        <w:t>a treaty</w:t>
      </w:r>
      <w:r w:rsidR="004A7B13">
        <w:t xml:space="preserve">, on its proper interpretation, </w:t>
      </w:r>
      <w:r w:rsidR="00672BF6">
        <w:t>imposes conditions on</w:t>
      </w:r>
      <w:r w:rsidR="001B204D">
        <w:t xml:space="preserve"> a </w:t>
      </w:r>
      <w:proofErr w:type="gramStart"/>
      <w:r w:rsidR="001B204D">
        <w:t>State’s</w:t>
      </w:r>
      <w:proofErr w:type="gramEnd"/>
      <w:r w:rsidR="001B204D">
        <w:t xml:space="preserve"> offer to arbitrate a dispute </w:t>
      </w:r>
      <w:proofErr w:type="gramStart"/>
      <w:r w:rsidR="001B204D">
        <w:t>so as to</w:t>
      </w:r>
      <w:proofErr w:type="gramEnd"/>
      <w:r w:rsidR="001B204D">
        <w:t xml:space="preserve"> </w:t>
      </w:r>
      <w:r w:rsidR="008C7295">
        <w:t xml:space="preserve">give rise to a valid arbitration agreement. Whilst that may </w:t>
      </w:r>
      <w:r w:rsidR="001C3468">
        <w:t xml:space="preserve">give rise to </w:t>
      </w:r>
      <w:r w:rsidR="00934F7E">
        <w:t xml:space="preserve">an issue as </w:t>
      </w:r>
      <w:r w:rsidR="001C3468">
        <w:t xml:space="preserve">to whether </w:t>
      </w:r>
      <w:r w:rsidR="00934F7E">
        <w:t>the arbitral tribu</w:t>
      </w:r>
      <w:r w:rsidR="00C71872">
        <w:t>n</w:t>
      </w:r>
      <w:r w:rsidR="00934F7E">
        <w:t xml:space="preserve">al has </w:t>
      </w:r>
      <w:r w:rsidR="00650412">
        <w:t>substantive jurisdiction by virtue of English domestic legislation (s</w:t>
      </w:r>
      <w:r w:rsidR="008F74AC">
        <w:t xml:space="preserve">ection </w:t>
      </w:r>
      <w:r w:rsidR="00650412">
        <w:t xml:space="preserve">30 of the 1996 Act), </w:t>
      </w:r>
      <w:r w:rsidR="00810C28">
        <w:t xml:space="preserve">the answer to the </w:t>
      </w:r>
      <w:r w:rsidR="0011699C">
        <w:t xml:space="preserve">treaty interpretation </w:t>
      </w:r>
      <w:r w:rsidR="00810C28">
        <w:t xml:space="preserve">question is a matter of </w:t>
      </w:r>
      <w:r w:rsidR="00A261AF">
        <w:t xml:space="preserve">international law and must be </w:t>
      </w:r>
      <w:r w:rsidR="00C71872">
        <w:t xml:space="preserve">the same (or at least approached in the same way) </w:t>
      </w:r>
      <w:r w:rsidR="00A261AF">
        <w:t>whether being determined by an ITA tribunal</w:t>
      </w:r>
      <w:r w:rsidR="0016433C">
        <w:t xml:space="preserve"> or the English court. In my judgment</w:t>
      </w:r>
      <w:r w:rsidR="006E5719">
        <w:t>, and as submitted by Korea,</w:t>
      </w:r>
      <w:r w:rsidR="0016433C">
        <w:t xml:space="preserve"> there is no basis on which the English court can or should </w:t>
      </w:r>
      <w:r w:rsidR="007C510C">
        <w:t>factor into its interpretation of a</w:t>
      </w:r>
      <w:r w:rsidR="00107409">
        <w:t>n</w:t>
      </w:r>
      <w:r w:rsidR="007C510C">
        <w:t xml:space="preserve"> international treaty</w:t>
      </w:r>
      <w:r w:rsidR="00107409">
        <w:t xml:space="preserve"> </w:t>
      </w:r>
      <w:r w:rsidR="002904E9">
        <w:t xml:space="preserve">the fact that one </w:t>
      </w:r>
      <w:r w:rsidR="00467B86">
        <w:t>of</w:t>
      </w:r>
      <w:r w:rsidR="002904E9">
        <w:t xml:space="preserve"> two competing interpretations would engage </w:t>
      </w:r>
      <w:r w:rsidR="00D01862">
        <w:t xml:space="preserve">“the ability to re-argue on a </w:t>
      </w:r>
      <w:r w:rsidR="00D01862" w:rsidRPr="00116F12">
        <w:rPr>
          <w:i/>
          <w:iCs/>
        </w:rPr>
        <w:t>de novo</w:t>
      </w:r>
      <w:r w:rsidR="00D01862">
        <w:t xml:space="preserve"> basis</w:t>
      </w:r>
      <w:r w:rsidR="00F15F98">
        <w:t xml:space="preserve"> before a municipal court issues relating to the application of an international law treaty, and to set aside or declare of no effect the determination of an international tribunal</w:t>
      </w:r>
      <w:r w:rsidR="00D01862">
        <w:t xml:space="preserve">”. </w:t>
      </w:r>
      <w:r w:rsidR="00FA52B2">
        <w:t xml:space="preserve">I </w:t>
      </w:r>
      <w:r w:rsidR="00325289">
        <w:t>note that this Court</w:t>
      </w:r>
      <w:r w:rsidR="009629EB">
        <w:t xml:space="preserve"> in </w:t>
      </w:r>
      <w:r w:rsidR="009629EB">
        <w:rPr>
          <w:i/>
          <w:iCs/>
        </w:rPr>
        <w:t xml:space="preserve">The Czech Republic </w:t>
      </w:r>
      <w:r w:rsidR="006761F9">
        <w:rPr>
          <w:i/>
          <w:iCs/>
        </w:rPr>
        <w:t xml:space="preserve">v Diag Human SE </w:t>
      </w:r>
      <w:r w:rsidR="006761F9">
        <w:t>[2025</w:t>
      </w:r>
      <w:r w:rsidR="00446C13">
        <w:t>]</w:t>
      </w:r>
      <w:r w:rsidR="006761F9">
        <w:t xml:space="preserve"> EWCA Civ </w:t>
      </w:r>
      <w:r w:rsidR="00446C13">
        <w:t xml:space="preserve">588 has recently </w:t>
      </w:r>
      <w:r w:rsidR="00B71F58">
        <w:t xml:space="preserve">expressed the view </w:t>
      </w:r>
      <w:r w:rsidR="0034168A">
        <w:t xml:space="preserve">at [130] </w:t>
      </w:r>
      <w:r w:rsidR="00B71F58">
        <w:t xml:space="preserve">that the “caution” expressed by the Judge at [28] </w:t>
      </w:r>
      <w:r w:rsidR="0034168A">
        <w:t xml:space="preserve">in his judgment in this case </w:t>
      </w:r>
      <w:r w:rsidR="00B71F58">
        <w:t xml:space="preserve">was well-founded, but I </w:t>
      </w:r>
      <w:r w:rsidR="00AC09B5">
        <w:t xml:space="preserve">understand that to refer to </w:t>
      </w:r>
      <w:r w:rsidR="00F13F36">
        <w:t xml:space="preserve">the </w:t>
      </w:r>
      <w:r w:rsidR="004F5134">
        <w:t xml:space="preserve">Judge’s </w:t>
      </w:r>
      <w:r w:rsidR="00F13F36">
        <w:t>point that</w:t>
      </w:r>
      <w:r w:rsidR="00B158A3">
        <w:t xml:space="preserve"> caution may be needed in reading what </w:t>
      </w:r>
      <w:r w:rsidR="00F13F36">
        <w:t xml:space="preserve">ITA tribunals </w:t>
      </w:r>
      <w:r w:rsidR="00B158A3">
        <w:t xml:space="preserve">decide about jurisdiction as they may </w:t>
      </w:r>
      <w:r w:rsidR="00852CB7">
        <w:t>be less concerned about distinguishing between jurisdiction, standing and admissibility. I do no</w:t>
      </w:r>
      <w:r w:rsidR="00EF6097">
        <w:t>t</w:t>
      </w:r>
      <w:r w:rsidR="00852CB7">
        <w:t xml:space="preserve"> read it as </w:t>
      </w:r>
      <w:r w:rsidR="004F5134">
        <w:t>approval</w:t>
      </w:r>
      <w:r w:rsidR="00852CB7">
        <w:t xml:space="preserve"> of </w:t>
      </w:r>
      <w:r w:rsidR="00656BE5">
        <w:t>the Judge’s invocation of national policy in interpreting a</w:t>
      </w:r>
      <w:r w:rsidR="00184909">
        <w:t>n international treaty.</w:t>
      </w:r>
      <w:r w:rsidR="00B158A3">
        <w:t xml:space="preserve"> </w:t>
      </w:r>
      <w:r w:rsidR="00397185">
        <w:t xml:space="preserve">Indeed, in </w:t>
      </w:r>
      <w:r w:rsidR="00397185">
        <w:rPr>
          <w:i/>
          <w:iCs/>
        </w:rPr>
        <w:t xml:space="preserve">Diag </w:t>
      </w:r>
      <w:r w:rsidR="00397185">
        <w:t xml:space="preserve">this Court emphasised </w:t>
      </w:r>
      <w:r w:rsidR="0034168A">
        <w:t xml:space="preserve">at [125] </w:t>
      </w:r>
      <w:r w:rsidR="00300FF2">
        <w:t xml:space="preserve">and [128] </w:t>
      </w:r>
      <w:r w:rsidR="00397185">
        <w:t xml:space="preserve">that the </w:t>
      </w:r>
      <w:r w:rsidR="004B02D1">
        <w:t>question of whether there was an offer to arbitrate in a BIT was ultimately a question of interpretation of the</w:t>
      </w:r>
      <w:r w:rsidR="0018574F">
        <w:t xml:space="preserve"> Treaty </w:t>
      </w:r>
      <w:r w:rsidR="00C71A39">
        <w:t xml:space="preserve">in accordance with the principles in Article 31 of the VCLT. </w:t>
      </w:r>
      <w:r w:rsidR="0018574F">
        <w:t xml:space="preserve"> </w:t>
      </w:r>
      <w:r w:rsidR="004B02D1">
        <w:t xml:space="preserve"> </w:t>
      </w:r>
      <w:r w:rsidR="00F13F36">
        <w:t xml:space="preserve"> </w:t>
      </w:r>
      <w:r w:rsidR="00325289">
        <w:t xml:space="preserve"> </w:t>
      </w:r>
      <w:r w:rsidR="00FA52B2">
        <w:t xml:space="preserve"> </w:t>
      </w:r>
      <w:r w:rsidR="001315B3">
        <w:t xml:space="preserve"> </w:t>
      </w:r>
      <w:r w:rsidR="007C510C">
        <w:t xml:space="preserve"> </w:t>
      </w:r>
      <w:r w:rsidR="00650412">
        <w:t xml:space="preserve">  </w:t>
      </w:r>
      <w:r w:rsidR="00CC39B2">
        <w:t xml:space="preserve"> </w:t>
      </w:r>
      <w:r w:rsidR="00E06D85">
        <w:t xml:space="preserve"> </w:t>
      </w:r>
    </w:p>
    <w:p w14:paraId="1ED8C8E0" w14:textId="4222AEA5" w:rsidR="004A1FBE" w:rsidRDefault="00792C39" w:rsidP="00130DB4">
      <w:pPr>
        <w:pStyle w:val="ParaLevel1"/>
      </w:pPr>
      <w:r>
        <w:lastRenderedPageBreak/>
        <w:t xml:space="preserve">Further, given </w:t>
      </w:r>
      <w:r w:rsidR="003C5855">
        <w:t xml:space="preserve">the </w:t>
      </w:r>
      <w:r w:rsidR="00C72477">
        <w:t xml:space="preserve">approach of </w:t>
      </w:r>
      <w:r w:rsidR="003C5855">
        <w:t xml:space="preserve">Articles 31 and 32 of the VCLT, starting with the </w:t>
      </w:r>
      <w:r w:rsidR="00C72477">
        <w:t xml:space="preserve">ordinary meaning </w:t>
      </w:r>
      <w:r w:rsidR="00CB521F">
        <w:t xml:space="preserve">to be given to the terms of </w:t>
      </w:r>
      <w:r w:rsidR="00765891">
        <w:t xml:space="preserve">the </w:t>
      </w:r>
      <w:r w:rsidR="00CB521F">
        <w:t xml:space="preserve">treaty </w:t>
      </w:r>
      <w:r w:rsidR="00C72477">
        <w:t>in question</w:t>
      </w:r>
      <w:r w:rsidR="00CB521F">
        <w:t>, in their context and in light of its object and purpose</w:t>
      </w:r>
      <w:r w:rsidR="00E74DAF">
        <w:t xml:space="preserve">, </w:t>
      </w:r>
      <w:r w:rsidR="004419D7">
        <w:t xml:space="preserve">I </w:t>
      </w:r>
      <w:r w:rsidR="00C210DC">
        <w:t xml:space="preserve">do not accept that </w:t>
      </w:r>
      <w:r w:rsidR="0036684C">
        <w:t xml:space="preserve">it is </w:t>
      </w:r>
      <w:r w:rsidR="003D2965">
        <w:t>relevant</w:t>
      </w:r>
      <w:r w:rsidR="0036684C">
        <w:t xml:space="preserve"> to draw</w:t>
      </w:r>
      <w:r w:rsidR="000314E7">
        <w:t xml:space="preserve"> “principles” from English authorities as to </w:t>
      </w:r>
      <w:r w:rsidR="002170B7">
        <w:t xml:space="preserve">whether </w:t>
      </w:r>
      <w:r w:rsidR="00A451F0">
        <w:t xml:space="preserve">particular issues </w:t>
      </w:r>
      <w:r w:rsidR="0088337D">
        <w:t>“will be jurisdictional for s</w:t>
      </w:r>
      <w:r w:rsidR="00765891">
        <w:t xml:space="preserve">ection </w:t>
      </w:r>
      <w:r w:rsidR="0088337D">
        <w:t>67 purposes”</w:t>
      </w:r>
      <w:r w:rsidR="004A3459">
        <w:t xml:space="preserve">, </w:t>
      </w:r>
      <w:r w:rsidR="004132E8">
        <w:t>or to suggest that</w:t>
      </w:r>
      <w:r w:rsidR="004A3459">
        <w:t xml:space="preserve"> </w:t>
      </w:r>
      <w:r w:rsidR="00B9128E">
        <w:t xml:space="preserve">so categorising an issue will </w:t>
      </w:r>
      <w:r w:rsidR="00477924">
        <w:t>give rise to a “greater challenge”</w:t>
      </w:r>
      <w:r w:rsidR="008352BD">
        <w:t xml:space="preserve">, “may be more difficult in the absence of </w:t>
      </w:r>
      <w:r w:rsidR="00E05AD0">
        <w:t xml:space="preserve">express language” or </w:t>
      </w:r>
      <w:r w:rsidR="004A1FBE">
        <w:t>“</w:t>
      </w:r>
      <w:r w:rsidR="00E05AD0">
        <w:t>may suggest that the issue is not jurisdictional”</w:t>
      </w:r>
      <w:r w:rsidR="00306B1E">
        <w:t xml:space="preserve"> (judgment at [37])</w:t>
      </w:r>
      <w:r w:rsidR="00E05AD0">
        <w:t xml:space="preserve">. </w:t>
      </w:r>
    </w:p>
    <w:p w14:paraId="330FAB82" w14:textId="4CF706AB" w:rsidR="00507617" w:rsidRDefault="00DF4280" w:rsidP="00130DB4">
      <w:pPr>
        <w:pStyle w:val="ParaLevel1"/>
      </w:pPr>
      <w:r>
        <w:t xml:space="preserve">The sole question of interpretation engaged in this case </w:t>
      </w:r>
      <w:r w:rsidR="00EB53EC">
        <w:t xml:space="preserve">is whether, applying the straightforward approach to interpretation </w:t>
      </w:r>
      <w:r w:rsidR="004A1FBE">
        <w:t xml:space="preserve">set out in the VCLT, the </w:t>
      </w:r>
      <w:r w:rsidR="00876A9D">
        <w:t xml:space="preserve">satisfaction of the requirements of Article 11.1(1) is a condition of </w:t>
      </w:r>
      <w:r w:rsidR="00AE3A7F">
        <w:t xml:space="preserve">Korea’s offer to arbitrate. There is no suggestion that, in </w:t>
      </w:r>
      <w:r w:rsidR="00500E95">
        <w:t xml:space="preserve">drafting the relevant provisions, Korea and </w:t>
      </w:r>
      <w:r w:rsidR="007012A6">
        <w:t xml:space="preserve">the </w:t>
      </w:r>
      <w:r w:rsidR="00500E95">
        <w:t xml:space="preserve">USA had in mind English domestic law as to </w:t>
      </w:r>
      <w:r w:rsidR="00FE42E1">
        <w:t xml:space="preserve">jurisdictional challenges to arbitration awards, and there is </w:t>
      </w:r>
      <w:r w:rsidR="0045600B">
        <w:t xml:space="preserve">therefore </w:t>
      </w:r>
      <w:r w:rsidR="00FE42E1">
        <w:t xml:space="preserve">no </w:t>
      </w:r>
      <w:r w:rsidR="0034640A">
        <w:t xml:space="preserve">basis for importing </w:t>
      </w:r>
      <w:r w:rsidR="003328E1">
        <w:t>and applying</w:t>
      </w:r>
      <w:r w:rsidR="004F0339">
        <w:t xml:space="preserve"> </w:t>
      </w:r>
      <w:r w:rsidR="001F1D44">
        <w:t>“</w:t>
      </w:r>
      <w:r w:rsidR="0034640A">
        <w:t>rules</w:t>
      </w:r>
      <w:r w:rsidR="001F1D44">
        <w:t>”</w:t>
      </w:r>
      <w:r w:rsidR="0034640A">
        <w:t xml:space="preserve"> of </w:t>
      </w:r>
      <w:r w:rsidR="003328E1">
        <w:t xml:space="preserve">construction or </w:t>
      </w:r>
      <w:r w:rsidR="0034640A">
        <w:t xml:space="preserve">presumptions </w:t>
      </w:r>
      <w:r w:rsidR="003328E1">
        <w:t xml:space="preserve">drawn from </w:t>
      </w:r>
      <w:r w:rsidR="00537CB9">
        <w:t>a collection of first instance decisions of the Englis</w:t>
      </w:r>
      <w:r w:rsidR="001F1D44">
        <w:t>h</w:t>
      </w:r>
      <w:r w:rsidR="00537CB9">
        <w:t xml:space="preserve"> courts</w:t>
      </w:r>
      <w:r w:rsidR="0045600B">
        <w:t>.</w:t>
      </w:r>
    </w:p>
    <w:p w14:paraId="19154082" w14:textId="2171B235" w:rsidR="00F54517" w:rsidRDefault="0045600B" w:rsidP="00130DB4">
      <w:pPr>
        <w:pStyle w:val="ParaLevel1"/>
      </w:pPr>
      <w:r>
        <w:t xml:space="preserve">I </w:t>
      </w:r>
      <w:r w:rsidR="00AA6A19">
        <w:t xml:space="preserve">would </w:t>
      </w:r>
      <w:r w:rsidR="00507617">
        <w:t xml:space="preserve">therefore </w:t>
      </w:r>
      <w:r w:rsidR="00AA6A19">
        <w:t xml:space="preserve">uphold Korea’s </w:t>
      </w:r>
      <w:r w:rsidR="00E50EBF">
        <w:t xml:space="preserve">first </w:t>
      </w:r>
      <w:r w:rsidR="00AA6A19">
        <w:t>subsidiary criticism of the Judge’s app</w:t>
      </w:r>
      <w:r w:rsidR="00507617">
        <w:t>roach.</w:t>
      </w:r>
      <w:r w:rsidR="0034640A">
        <w:t xml:space="preserve"> </w:t>
      </w:r>
      <w:r w:rsidR="00507617">
        <w:t xml:space="preserve">To what extent the principles </w:t>
      </w:r>
      <w:r w:rsidR="00457221">
        <w:t xml:space="preserve">of interpretation </w:t>
      </w:r>
      <w:r w:rsidR="00507617">
        <w:t>identified by the Judge</w:t>
      </w:r>
      <w:r w:rsidR="00532EAE">
        <w:t xml:space="preserve"> at [37]</w:t>
      </w:r>
      <w:r w:rsidR="00507617">
        <w:t xml:space="preserve"> (wrongly, in my </w:t>
      </w:r>
      <w:r w:rsidR="00457221">
        <w:t xml:space="preserve">judgment) affected his </w:t>
      </w:r>
      <w:proofErr w:type="gramStart"/>
      <w:r w:rsidR="00782450">
        <w:t>ultimate conclusion</w:t>
      </w:r>
      <w:proofErr w:type="gramEnd"/>
      <w:r w:rsidR="00782450">
        <w:t xml:space="preserve"> is unclear: his analysis focused closely on the </w:t>
      </w:r>
      <w:r w:rsidR="00C47E2B">
        <w:t xml:space="preserve">meaning of the </w:t>
      </w:r>
      <w:r w:rsidR="00D11564">
        <w:t xml:space="preserve">provisions of the Treaty, and in particular Chapter 11, to which I shall now turn. </w:t>
      </w:r>
      <w:r w:rsidR="00782450">
        <w:t xml:space="preserve"> </w:t>
      </w:r>
      <w:r w:rsidR="00AE3A7F">
        <w:t xml:space="preserve"> </w:t>
      </w:r>
      <w:r w:rsidR="0088337D">
        <w:t xml:space="preserve">  </w:t>
      </w:r>
      <w:r w:rsidR="00327C50">
        <w:t xml:space="preserve"> </w:t>
      </w:r>
      <w:r w:rsidR="00A451F0">
        <w:t xml:space="preserve">  </w:t>
      </w:r>
      <w:r w:rsidR="000314E7">
        <w:t xml:space="preserve"> </w:t>
      </w:r>
      <w:r w:rsidR="00CB521F">
        <w:t xml:space="preserve"> </w:t>
      </w:r>
    </w:p>
    <w:p w14:paraId="6CFCCAE1" w14:textId="324962B8" w:rsidR="00F54517" w:rsidRPr="00D11564" w:rsidRDefault="00D11564" w:rsidP="00130DB4">
      <w:pPr>
        <w:pStyle w:val="ParaLevel1"/>
        <w:numPr>
          <w:ilvl w:val="0"/>
          <w:numId w:val="0"/>
        </w:numPr>
        <w:rPr>
          <w:b/>
          <w:bCs/>
        </w:rPr>
      </w:pPr>
      <w:r>
        <w:rPr>
          <w:b/>
          <w:bCs/>
        </w:rPr>
        <w:t>The</w:t>
      </w:r>
      <w:r w:rsidR="00C27A38">
        <w:rPr>
          <w:b/>
          <w:bCs/>
        </w:rPr>
        <w:t xml:space="preserve"> </w:t>
      </w:r>
      <w:r>
        <w:rPr>
          <w:b/>
          <w:bCs/>
        </w:rPr>
        <w:t xml:space="preserve">interpretation of Chapter 11 </w:t>
      </w:r>
    </w:p>
    <w:p w14:paraId="0F421FD4" w14:textId="28BA4A49" w:rsidR="00F54517" w:rsidRDefault="00EC6CB8" w:rsidP="00130DB4">
      <w:pPr>
        <w:pStyle w:val="ParaLevel1"/>
      </w:pPr>
      <w:r>
        <w:t xml:space="preserve">The ordinary meaning of </w:t>
      </w:r>
      <w:r w:rsidR="00000D43">
        <w:t>“</w:t>
      </w:r>
      <w:r w:rsidR="007C2AD7">
        <w:t xml:space="preserve">This </w:t>
      </w:r>
      <w:r w:rsidR="00000D43">
        <w:t>Chapter” in Article 11.1(1) is</w:t>
      </w:r>
      <w:r w:rsidR="00012B25">
        <w:t xml:space="preserve"> the whole of Chapter 11, not merely Section A</w:t>
      </w:r>
      <w:r w:rsidR="00657FCE">
        <w:t xml:space="preserve">, notwithstanding </w:t>
      </w:r>
      <w:r w:rsidR="005A19A3">
        <w:t>that the Article is located at the start of Section A</w:t>
      </w:r>
      <w:r w:rsidR="00012B25">
        <w:t xml:space="preserve">. </w:t>
      </w:r>
      <w:r w:rsidR="00BB419A">
        <w:t xml:space="preserve">On its face, therefore, the “scope and coverage” provision applies straightforwardly to the whole of Chapter 11, including the offer to arbitrate in </w:t>
      </w:r>
      <w:r w:rsidR="00E56C3C">
        <w:t>Sectio</w:t>
      </w:r>
      <w:r w:rsidR="00AF22B1">
        <w:t>n B</w:t>
      </w:r>
      <w:r w:rsidR="00E56C3C">
        <w:t xml:space="preserve">. That is the interpretation that has been accepted and applied, uniformly, in </w:t>
      </w:r>
      <w:r w:rsidR="003B5B47">
        <w:t xml:space="preserve">each of the </w:t>
      </w:r>
      <w:r w:rsidR="00A02D78">
        <w:t xml:space="preserve">ITA awards </w:t>
      </w:r>
      <w:r w:rsidR="0076209A">
        <w:t xml:space="preserve">referred to by the Judge in which </w:t>
      </w:r>
      <w:r w:rsidR="003B5B47">
        <w:t xml:space="preserve">Article 11.1(1) </w:t>
      </w:r>
      <w:r w:rsidR="00E95B67">
        <w:t>of the Treaty or Article 1101 of NAFTA</w:t>
      </w:r>
      <w:r w:rsidR="0076209A">
        <w:t xml:space="preserve"> were </w:t>
      </w:r>
      <w:r w:rsidR="00DE44CF">
        <w:t>considered</w:t>
      </w:r>
      <w:r w:rsidR="007C2AD7">
        <w:t>, there being no counter</w:t>
      </w:r>
      <w:r w:rsidR="005D691A">
        <w:t>v</w:t>
      </w:r>
      <w:r w:rsidR="007C2AD7">
        <w:t>ailing view expressed</w:t>
      </w:r>
      <w:r w:rsidR="00AF3B9F">
        <w:t xml:space="preserve"> </w:t>
      </w:r>
      <w:r w:rsidR="005F25E1">
        <w:t>(until the SICC supported the Judge’s conclusion)</w:t>
      </w:r>
      <w:r w:rsidR="00A02D78">
        <w:t xml:space="preserve">. </w:t>
      </w:r>
      <w:r w:rsidR="00A76561">
        <w:t xml:space="preserve">Whilst </w:t>
      </w:r>
      <w:r w:rsidR="008E4CA4">
        <w:t xml:space="preserve">there might be </w:t>
      </w:r>
      <w:r w:rsidR="00A76561">
        <w:t xml:space="preserve">consequences </w:t>
      </w:r>
      <w:r w:rsidR="008E4CA4">
        <w:t xml:space="preserve">which </w:t>
      </w:r>
      <w:r w:rsidR="00A76561">
        <w:t xml:space="preserve">the Judge </w:t>
      </w:r>
      <w:r w:rsidR="00F0122A">
        <w:t>considered unfortunate in terms of Korea being able to re-</w:t>
      </w:r>
      <w:r w:rsidR="00397383">
        <w:t>litigate</w:t>
      </w:r>
      <w:r w:rsidR="00A13385">
        <w:t xml:space="preserve"> </w:t>
      </w:r>
      <w:r w:rsidR="00A13385" w:rsidRPr="00767918">
        <w:rPr>
          <w:i/>
          <w:iCs/>
        </w:rPr>
        <w:t>de novo</w:t>
      </w:r>
      <w:r w:rsidR="00397383">
        <w:t xml:space="preserve"> whether Elliott’s </w:t>
      </w:r>
      <w:r w:rsidR="005B4335">
        <w:t xml:space="preserve">arbitration </w:t>
      </w:r>
      <w:r w:rsidR="00397383">
        <w:t>claim</w:t>
      </w:r>
      <w:r w:rsidR="005B4335">
        <w:t xml:space="preserve"> falls within Chapter 11 by way of a s</w:t>
      </w:r>
      <w:r w:rsidR="007012A6">
        <w:t xml:space="preserve">ection </w:t>
      </w:r>
      <w:r w:rsidR="005B4335">
        <w:t>67 challenge</w:t>
      </w:r>
      <w:r w:rsidR="00A13385">
        <w:t xml:space="preserve"> in this jurisdiction</w:t>
      </w:r>
      <w:r w:rsidR="005B4335">
        <w:t xml:space="preserve">, there is nothing surprising or unworkable about the </w:t>
      </w:r>
      <w:r w:rsidR="009E3F26">
        <w:t>Contracting Parties</w:t>
      </w:r>
      <w:r w:rsidR="00DE44CF">
        <w:t xml:space="preserve"> to NAFTA and the </w:t>
      </w:r>
      <w:r w:rsidR="002D0704">
        <w:t xml:space="preserve">Contracting Parties to the </w:t>
      </w:r>
      <w:r w:rsidR="00DE44CF">
        <w:t xml:space="preserve">Treaty </w:t>
      </w:r>
      <w:r w:rsidR="009E3F26">
        <w:t xml:space="preserve">having limited the right </w:t>
      </w:r>
      <w:r w:rsidR="00DE44CF">
        <w:t xml:space="preserve">of investors </w:t>
      </w:r>
      <w:r w:rsidR="009E3F26">
        <w:t xml:space="preserve">to arbitrate to circumstances in which the </w:t>
      </w:r>
      <w:r w:rsidR="00FC39D0">
        <w:t>substantive protections under the Treaty were engaged</w:t>
      </w:r>
      <w:r w:rsidR="008D1335">
        <w:t xml:space="preserve">, not merely when it was alleged that they were engaged. </w:t>
      </w:r>
    </w:p>
    <w:p w14:paraId="5F033B18" w14:textId="7E01A539" w:rsidR="00F54517" w:rsidRDefault="006617E7" w:rsidP="00130DB4">
      <w:pPr>
        <w:pStyle w:val="ParaLevel1"/>
      </w:pPr>
      <w:r>
        <w:t>As Korea points out, the Judge</w:t>
      </w:r>
      <w:r w:rsidR="00462C14">
        <w:t xml:space="preserve"> </w:t>
      </w:r>
      <w:r w:rsidR="00E27F28">
        <w:t xml:space="preserve">declined to give the </w:t>
      </w:r>
      <w:r w:rsidR="00685A38">
        <w:t>phrase</w:t>
      </w:r>
      <w:r w:rsidR="00E27F28">
        <w:t xml:space="preserve"> “</w:t>
      </w:r>
      <w:r w:rsidR="00AF5A56">
        <w:t xml:space="preserve">This </w:t>
      </w:r>
      <w:r w:rsidR="00E27F28">
        <w:t xml:space="preserve">Chapter” its ordinary meaning, </w:t>
      </w:r>
      <w:r w:rsidR="003F7387">
        <w:t xml:space="preserve">instead </w:t>
      </w:r>
      <w:r w:rsidR="00685A38">
        <w:t>r</w:t>
      </w:r>
      <w:r w:rsidR="003F7387">
        <w:t>e</w:t>
      </w:r>
      <w:r w:rsidR="00AD400B">
        <w:t>ading</w:t>
      </w:r>
      <w:r w:rsidR="00D02C94">
        <w:t xml:space="preserve"> Article 11.1(1) </w:t>
      </w:r>
      <w:r w:rsidR="00AD400B">
        <w:t>as</w:t>
      </w:r>
      <w:r w:rsidR="00030645">
        <w:t xml:space="preserve"> start</w:t>
      </w:r>
      <w:r w:rsidR="00AD400B">
        <w:t>ing</w:t>
      </w:r>
      <w:r w:rsidR="00030645">
        <w:t xml:space="preserve"> with </w:t>
      </w:r>
      <w:r w:rsidR="003F7387">
        <w:t>“</w:t>
      </w:r>
      <w:r w:rsidR="00AF5A56">
        <w:t>T</w:t>
      </w:r>
      <w:r w:rsidR="003F7387">
        <w:t>his Section”</w:t>
      </w:r>
      <w:r w:rsidR="006A2DE7">
        <w:t xml:space="preserve">, effectively deciding that </w:t>
      </w:r>
      <w:r w:rsidR="00432517">
        <w:t>the former phrase had been included by mistake in both NAFTA and again, by different parties, in the Treat</w:t>
      </w:r>
      <w:r w:rsidR="00AC6DFB">
        <w:t>y</w:t>
      </w:r>
      <w:r w:rsidR="005D691A">
        <w:t xml:space="preserve">. </w:t>
      </w:r>
      <w:r w:rsidR="006073D8">
        <w:t xml:space="preserve">The Judge justified that reading </w:t>
      </w:r>
      <w:r w:rsidR="00992557">
        <w:t xml:space="preserve">because, in his view, </w:t>
      </w:r>
      <w:r w:rsidR="002D7B51">
        <w:t xml:space="preserve">there was a clear dividing line between what he regarded as the substantive </w:t>
      </w:r>
      <w:r w:rsidR="00535B35">
        <w:t xml:space="preserve">provisions </w:t>
      </w:r>
      <w:r w:rsidR="00481329">
        <w:t xml:space="preserve">of </w:t>
      </w:r>
      <w:r w:rsidR="00535B35">
        <w:t xml:space="preserve">Section A and the procedural dispute resolution provisions </w:t>
      </w:r>
      <w:r w:rsidR="00481329">
        <w:t>of</w:t>
      </w:r>
      <w:r w:rsidR="004B7E81">
        <w:t xml:space="preserve"> Section B. In that context he considered that Section B </w:t>
      </w:r>
      <w:r w:rsidR="00AA18AA">
        <w:t xml:space="preserve">should be read as an independent regime, with its own </w:t>
      </w:r>
      <w:r w:rsidR="006206A1">
        <w:t xml:space="preserve">jurisdictional </w:t>
      </w:r>
      <w:r w:rsidR="0035454A">
        <w:t>requirements</w:t>
      </w:r>
      <w:r w:rsidR="006206A1">
        <w:t xml:space="preserve">, remote from and not governed by the scope and coverage wording in Article 11.1(1). </w:t>
      </w:r>
      <w:r w:rsidR="00AA18AA">
        <w:t xml:space="preserve"> </w:t>
      </w:r>
      <w:r w:rsidR="006073D8">
        <w:t xml:space="preserve"> </w:t>
      </w:r>
    </w:p>
    <w:p w14:paraId="7E25D82E" w14:textId="6EB34526" w:rsidR="00527FB1" w:rsidRDefault="00A95DD6" w:rsidP="00130DB4">
      <w:pPr>
        <w:pStyle w:val="ParaLevel1"/>
      </w:pPr>
      <w:r>
        <w:t xml:space="preserve">Apart from the inherent improbability that </w:t>
      </w:r>
      <w:r w:rsidR="00BA1373">
        <w:t>successive treaties used and have retained the wrong word (</w:t>
      </w:r>
      <w:r w:rsidR="007B41E0">
        <w:t xml:space="preserve">having expressly used the term “this Section” </w:t>
      </w:r>
      <w:r w:rsidR="00285860">
        <w:t xml:space="preserve">multiple times in Article </w:t>
      </w:r>
      <w:r w:rsidR="00285860">
        <w:lastRenderedPageBreak/>
        <w:t xml:space="preserve">11.16 and once more in </w:t>
      </w:r>
      <w:r w:rsidR="007B41E0">
        <w:t>Article 11.17 when that was what was intended), t</w:t>
      </w:r>
      <w:r w:rsidR="002E034C">
        <w:t xml:space="preserve">he </w:t>
      </w:r>
      <w:r w:rsidR="00832AAB">
        <w:t xml:space="preserve">immediate </w:t>
      </w:r>
      <w:r w:rsidR="002E034C">
        <w:t xml:space="preserve">difficulty </w:t>
      </w:r>
      <w:r w:rsidR="00832AAB">
        <w:t xml:space="preserve">with the Judge’s approach </w:t>
      </w:r>
      <w:r w:rsidR="002E034C">
        <w:t xml:space="preserve">is that </w:t>
      </w:r>
      <w:r w:rsidR="005E3B9E">
        <w:t>certain</w:t>
      </w:r>
      <w:r w:rsidR="00DA75DD">
        <w:t xml:space="preserve"> other</w:t>
      </w:r>
      <w:r w:rsidR="005E3B9E">
        <w:t xml:space="preserve"> provisions in Section A </w:t>
      </w:r>
      <w:r w:rsidR="00840DFD">
        <w:t xml:space="preserve">of Chapter 11 </w:t>
      </w:r>
      <w:r w:rsidR="00285860">
        <w:t xml:space="preserve">clearly </w:t>
      </w:r>
      <w:r w:rsidR="005F2681">
        <w:t xml:space="preserve">apply </w:t>
      </w:r>
      <w:r w:rsidR="005E3B9E">
        <w:t xml:space="preserve">to </w:t>
      </w:r>
      <w:r w:rsidR="00840DFD">
        <w:t xml:space="preserve">and </w:t>
      </w:r>
      <w:r w:rsidR="00694B1A">
        <w:t xml:space="preserve">potentially </w:t>
      </w:r>
      <w:r w:rsidR="00840DFD">
        <w:t xml:space="preserve">qualify </w:t>
      </w:r>
      <w:r w:rsidR="0035454A">
        <w:t xml:space="preserve">the </w:t>
      </w:r>
      <w:r w:rsidR="001B2B66">
        <w:t xml:space="preserve">right to accept </w:t>
      </w:r>
      <w:r w:rsidR="00832AAB">
        <w:t xml:space="preserve">the offer to arbitrate in Section B. </w:t>
      </w:r>
      <w:r w:rsidR="0084414A">
        <w:t xml:space="preserve">First, </w:t>
      </w:r>
      <w:r w:rsidR="00B74D07">
        <w:t>Article 11.</w:t>
      </w:r>
      <w:r w:rsidR="00B57F38">
        <w:t xml:space="preserve">11 provides for a State to deny the benefits of “this Chapter” </w:t>
      </w:r>
      <w:r w:rsidR="00FA2D1E">
        <w:t xml:space="preserve">to an investor in defined circumstances, which </w:t>
      </w:r>
      <w:r w:rsidR="00053C3D">
        <w:t xml:space="preserve">must include the benefit of the </w:t>
      </w:r>
      <w:r w:rsidR="00EC7E4E">
        <w:t xml:space="preserve">offer to arbitrate in Section B. </w:t>
      </w:r>
      <w:r w:rsidR="0084414A">
        <w:t xml:space="preserve">Second, </w:t>
      </w:r>
      <w:r w:rsidR="002C5FAE">
        <w:t xml:space="preserve">Article 11.14 </w:t>
      </w:r>
      <w:r w:rsidR="002C457E">
        <w:t>provides for sub</w:t>
      </w:r>
      <w:r w:rsidR="008B3888">
        <w:t xml:space="preserve">rogation of the investor’s rights </w:t>
      </w:r>
      <w:r w:rsidR="0084414A">
        <w:t xml:space="preserve">“under this Chapter” </w:t>
      </w:r>
      <w:r w:rsidR="008B3888">
        <w:t>in certain circumstances</w:t>
      </w:r>
      <w:r w:rsidR="00611637">
        <w:t xml:space="preserve"> where the </w:t>
      </w:r>
      <w:r w:rsidR="000A583E">
        <w:t>investor has been paid under a guarantee or contract of insurance</w:t>
      </w:r>
      <w:r w:rsidR="00A901A7">
        <w:t xml:space="preserve">, and for the investor </w:t>
      </w:r>
      <w:r w:rsidR="0084414A">
        <w:t>to be</w:t>
      </w:r>
      <w:r w:rsidR="00A901A7">
        <w:t xml:space="preserve"> precluded from exercising those rights</w:t>
      </w:r>
      <w:r w:rsidR="0084414A">
        <w:t xml:space="preserve">. Such subrogated rights must include the </w:t>
      </w:r>
      <w:r w:rsidR="00571209">
        <w:t xml:space="preserve">offer of arbitration. In </w:t>
      </w:r>
      <w:r w:rsidR="00EF4422">
        <w:t xml:space="preserve">the case of both </w:t>
      </w:r>
      <w:r w:rsidR="001A4791">
        <w:t xml:space="preserve">Article </w:t>
      </w:r>
      <w:r w:rsidR="00EF4422">
        <w:t xml:space="preserve">11.11 and </w:t>
      </w:r>
      <w:r w:rsidR="0049193E">
        <w:t xml:space="preserve">Article </w:t>
      </w:r>
      <w:r w:rsidR="00EF4422">
        <w:t>11.</w:t>
      </w:r>
      <w:r w:rsidR="0049193E">
        <w:t>1</w:t>
      </w:r>
      <w:r w:rsidR="00EF4422">
        <w:t xml:space="preserve">4 </w:t>
      </w:r>
      <w:r w:rsidR="00571209">
        <w:t xml:space="preserve">the </w:t>
      </w:r>
      <w:r w:rsidR="00546C96">
        <w:t xml:space="preserve">provision </w:t>
      </w:r>
      <w:r w:rsidR="006D7940">
        <w:t xml:space="preserve">is </w:t>
      </w:r>
      <w:r w:rsidR="00EF4422">
        <w:t xml:space="preserve">undoubtedly </w:t>
      </w:r>
      <w:r w:rsidR="00546C96">
        <w:t>governed by Article 11.1(1)</w:t>
      </w:r>
      <w:r w:rsidR="00C83365">
        <w:t xml:space="preserve">, </w:t>
      </w:r>
      <w:r w:rsidR="0081280B">
        <w:t xml:space="preserve">even on the Judge’s interpretation, </w:t>
      </w:r>
      <w:r w:rsidR="00C83365">
        <w:t>but then it is unclear why the rights “under th</w:t>
      </w:r>
      <w:r w:rsidR="001A4791">
        <w:t>is</w:t>
      </w:r>
      <w:r w:rsidR="00C83365">
        <w:t xml:space="preserve"> Chapter”</w:t>
      </w:r>
      <w:r w:rsidR="001B2B66">
        <w:t xml:space="preserve"> to which the </w:t>
      </w:r>
      <w:r w:rsidR="009D4048">
        <w:t>provisions refer</w:t>
      </w:r>
      <w:r w:rsidR="00C83365">
        <w:t>, including</w:t>
      </w:r>
      <w:r w:rsidR="001A4791">
        <w:t xml:space="preserve"> the right to </w:t>
      </w:r>
      <w:r w:rsidR="00694B1A">
        <w:t>accept</w:t>
      </w:r>
      <w:r w:rsidR="001A4791">
        <w:t xml:space="preserve"> </w:t>
      </w:r>
      <w:r w:rsidR="00C83365">
        <w:t>the offer to arbitrate</w:t>
      </w:r>
      <w:r w:rsidR="00694B1A">
        <w:t xml:space="preserve">, are not also so governed. </w:t>
      </w:r>
      <w:r w:rsidR="00CA5531">
        <w:t>It is noteworthy that the Judge did not refer specifically to either of these provisions</w:t>
      </w:r>
      <w:r w:rsidR="00EB37FB">
        <w:t xml:space="preserve">, let alone their potential impact on the </w:t>
      </w:r>
      <w:r w:rsidR="0068695E">
        <w:t xml:space="preserve">“independence” of the </w:t>
      </w:r>
      <w:r w:rsidR="00EB37FB">
        <w:t xml:space="preserve">offer to arbitrate and the </w:t>
      </w:r>
      <w:r w:rsidR="00527FB1">
        <w:t>clear division he saw between Section A and Section B</w:t>
      </w:r>
      <w:r w:rsidR="00440EAE">
        <w:t xml:space="preserve"> of Chapter 11</w:t>
      </w:r>
      <w:r w:rsidR="00527FB1">
        <w:t xml:space="preserve">. </w:t>
      </w:r>
    </w:p>
    <w:p w14:paraId="3DEC7D18" w14:textId="3B33EC1C" w:rsidR="004A7357" w:rsidRDefault="005E4984" w:rsidP="00130DB4">
      <w:pPr>
        <w:pStyle w:val="ParaLevel1"/>
      </w:pPr>
      <w:r>
        <w:t xml:space="preserve">It is also noteworthy that there is nothing in Section B that </w:t>
      </w:r>
      <w:r w:rsidR="00AD2598">
        <w:t>makes it a condition of the right to arbitrate a claim for a breach of the obligations in Section A that the</w:t>
      </w:r>
      <w:r w:rsidR="00E60722">
        <w:t xml:space="preserve"> claim is in relation to an investment in </w:t>
      </w:r>
      <w:r w:rsidR="003C0E7E">
        <w:t xml:space="preserve">the territory of </w:t>
      </w:r>
      <w:r w:rsidR="00476CAD">
        <w:t>Korea (or</w:t>
      </w:r>
      <w:r w:rsidR="00D74DA8">
        <w:t>,</w:t>
      </w:r>
      <w:r w:rsidR="00476CAD">
        <w:t xml:space="preserve"> </w:t>
      </w:r>
      <w:r w:rsidR="005151C0">
        <w:t>in other case</w:t>
      </w:r>
      <w:r w:rsidR="00D74DA8">
        <w:t>s</w:t>
      </w:r>
      <w:r w:rsidR="005151C0">
        <w:t>, the USA)</w:t>
      </w:r>
      <w:r w:rsidR="00686071">
        <w:t>, rath</w:t>
      </w:r>
      <w:r w:rsidR="00EA695B">
        <w:t>er than that being an issue for potential determination in an investment dispute</w:t>
      </w:r>
      <w:r w:rsidR="00D37E24">
        <w:t>;</w:t>
      </w:r>
      <w:r w:rsidR="00EF4422">
        <w:t xml:space="preserve"> no terri</w:t>
      </w:r>
      <w:r w:rsidR="001175AD">
        <w:t>t</w:t>
      </w:r>
      <w:r w:rsidR="00EF4422">
        <w:t>o</w:t>
      </w:r>
      <w:r w:rsidR="001175AD">
        <w:t>ri</w:t>
      </w:r>
      <w:r w:rsidR="00EF4422">
        <w:t xml:space="preserve">al </w:t>
      </w:r>
      <w:r w:rsidR="001175AD">
        <w:t>restriction can be found, at least expressly, in the definition of “investment” or “investor of a Party”</w:t>
      </w:r>
      <w:r w:rsidR="0083247D">
        <w:t xml:space="preserve">, and as the </w:t>
      </w:r>
      <w:r w:rsidR="00B9249D">
        <w:t>J</w:t>
      </w:r>
      <w:r w:rsidR="0083247D">
        <w:t>udge noted the term “investment dispute” is undefined</w:t>
      </w:r>
      <w:r w:rsidR="005151C0">
        <w:t xml:space="preserve">. </w:t>
      </w:r>
      <w:r w:rsidR="00EA695B">
        <w:t>Yet</w:t>
      </w:r>
      <w:r w:rsidR="00B9249D">
        <w:t>,</w:t>
      </w:r>
      <w:r w:rsidR="00EA695B">
        <w:t xml:space="preserve"> </w:t>
      </w:r>
      <w:r w:rsidR="003425A8">
        <w:t xml:space="preserve">given that </w:t>
      </w:r>
      <w:r w:rsidR="00C32C88">
        <w:t xml:space="preserve">the proviso to Article 11.16 </w:t>
      </w:r>
      <w:r w:rsidR="000E1CCD">
        <w:t xml:space="preserve">in relation to </w:t>
      </w:r>
      <w:r w:rsidR="00FC4F1C">
        <w:t xml:space="preserve">claims for breach of an </w:t>
      </w:r>
      <w:r w:rsidR="000E1CCD">
        <w:t>investment agreement</w:t>
      </w:r>
      <w:r w:rsidR="00FC4F1C">
        <w:t xml:space="preserve"> expressly makes it a condition that the claim </w:t>
      </w:r>
      <w:r w:rsidR="00A1308D">
        <w:t>directly relate</w:t>
      </w:r>
      <w:r w:rsidR="00D74DA8">
        <w:t>s</w:t>
      </w:r>
      <w:r w:rsidR="00A1308D">
        <w:t xml:space="preserve"> to a covered investment</w:t>
      </w:r>
      <w:r w:rsidR="004E51F3">
        <w:t xml:space="preserve">, it would be very surprising if </w:t>
      </w:r>
      <w:r w:rsidR="00B769DD">
        <w:t>the existence of a</w:t>
      </w:r>
      <w:r w:rsidR="000E1CCD">
        <w:t>n</w:t>
      </w:r>
      <w:r w:rsidR="00B769DD">
        <w:t xml:space="preserve"> investment in </w:t>
      </w:r>
      <w:r w:rsidR="0057628E">
        <w:t xml:space="preserve">the territory of a Contracting State </w:t>
      </w:r>
      <w:r w:rsidR="004E51F3">
        <w:t xml:space="preserve">was not a </w:t>
      </w:r>
      <w:r w:rsidR="000072E6">
        <w:t xml:space="preserve">condition of </w:t>
      </w:r>
      <w:r w:rsidR="00EF2E71">
        <w:t xml:space="preserve">the </w:t>
      </w:r>
      <w:r w:rsidR="000E1CCD">
        <w:t>offer</w:t>
      </w:r>
      <w:r w:rsidR="00EF2E71">
        <w:t xml:space="preserve"> to arbitrate</w:t>
      </w:r>
      <w:r w:rsidR="008714B6">
        <w:t xml:space="preserve"> claims</w:t>
      </w:r>
      <w:r w:rsidR="00E81FBE">
        <w:t xml:space="preserve"> more generally</w:t>
      </w:r>
      <w:r w:rsidR="000E1CCD">
        <w:t xml:space="preserve">. </w:t>
      </w:r>
      <w:r w:rsidR="008714B6">
        <w:t>S</w:t>
      </w:r>
      <w:r w:rsidR="00FC394D">
        <w:t xml:space="preserve">uch a condition </w:t>
      </w:r>
      <w:r w:rsidR="00A01043">
        <w:t>can</w:t>
      </w:r>
      <w:r w:rsidR="00FC394D">
        <w:t xml:space="preserve"> be found</w:t>
      </w:r>
      <w:r w:rsidR="00E97548">
        <w:t>, but only found,</w:t>
      </w:r>
      <w:r w:rsidR="00FC394D">
        <w:t xml:space="preserve"> </w:t>
      </w:r>
      <w:r w:rsidR="0098779B">
        <w:t xml:space="preserve">through </w:t>
      </w:r>
      <w:r w:rsidR="007F6FC8">
        <w:t xml:space="preserve">the application of </w:t>
      </w:r>
      <w:r w:rsidR="00686071">
        <w:t xml:space="preserve">the scope and coverage provision in </w:t>
      </w:r>
      <w:r w:rsidR="007F6FC8">
        <w:t>Article 11.</w:t>
      </w:r>
      <w:r w:rsidR="007F1D2D">
        <w:t>1</w:t>
      </w:r>
      <w:r w:rsidR="007F6FC8">
        <w:t>(1)</w:t>
      </w:r>
      <w:r w:rsidR="00227FDD">
        <w:t xml:space="preserve"> and its use of the concepts of “covered investment” and “in the territory of the Party”</w:t>
      </w:r>
      <w:r w:rsidR="00686071">
        <w:t xml:space="preserve">. </w:t>
      </w:r>
      <w:r w:rsidR="00732908">
        <w:t xml:space="preserve"> </w:t>
      </w:r>
      <w:r w:rsidR="00FC394D">
        <w:t xml:space="preserve"> </w:t>
      </w:r>
    </w:p>
    <w:p w14:paraId="5407CC41" w14:textId="4E280F39" w:rsidR="00931DC6" w:rsidRDefault="00931DC6" w:rsidP="00130DB4">
      <w:pPr>
        <w:pStyle w:val="ParaLevel1"/>
      </w:pPr>
      <w:r>
        <w:t>Further</w:t>
      </w:r>
      <w:r w:rsidR="00057AE2">
        <w:t xml:space="preserve">, </w:t>
      </w:r>
      <w:r w:rsidR="00E41ED5">
        <w:t xml:space="preserve">the temporal restriction </w:t>
      </w:r>
      <w:r w:rsidR="00465582">
        <w:t xml:space="preserve">as to the matters in respect of which </w:t>
      </w:r>
      <w:r w:rsidR="008E3173">
        <w:t xml:space="preserve">Chapter 11 </w:t>
      </w:r>
      <w:r w:rsidR="00465582">
        <w:t xml:space="preserve">is </w:t>
      </w:r>
      <w:r w:rsidR="008E3173">
        <w:t xml:space="preserve">binding </w:t>
      </w:r>
      <w:r w:rsidR="00465582">
        <w:t xml:space="preserve">on </w:t>
      </w:r>
      <w:r w:rsidR="008E3173">
        <w:t xml:space="preserve">the Contracting Parties </w:t>
      </w:r>
      <w:r w:rsidR="00E41ED5">
        <w:t xml:space="preserve">in Article </w:t>
      </w:r>
      <w:r w:rsidR="005B1293">
        <w:t>11.</w:t>
      </w:r>
      <w:r w:rsidR="00227FDD">
        <w:t>1(</w:t>
      </w:r>
      <w:r w:rsidR="005B1293">
        <w:t>2</w:t>
      </w:r>
      <w:r w:rsidR="005F2681">
        <w:t>)</w:t>
      </w:r>
      <w:r w:rsidR="005B1293">
        <w:t xml:space="preserve"> and the </w:t>
      </w:r>
      <w:r w:rsidR="008E3173">
        <w:t xml:space="preserve">disapplication of the Chapter in relation to </w:t>
      </w:r>
      <w:r w:rsidR="00D94DA7">
        <w:t>Chapter 1</w:t>
      </w:r>
      <w:r w:rsidR="00D601DA">
        <w:t>3 (Financial Services)</w:t>
      </w:r>
      <w:r w:rsidR="00E12715">
        <w:t xml:space="preserve"> that is provided for in Article 11.2(3)</w:t>
      </w:r>
      <w:r w:rsidR="00D601DA">
        <w:t xml:space="preserve"> both plainly </w:t>
      </w:r>
      <w:r w:rsidR="00465582">
        <w:t xml:space="preserve">relate to the </w:t>
      </w:r>
      <w:r w:rsidR="00870074">
        <w:t>w</w:t>
      </w:r>
      <w:r w:rsidR="00465582">
        <w:t xml:space="preserve">hole </w:t>
      </w:r>
      <w:r w:rsidR="000E7F30">
        <w:t xml:space="preserve">of </w:t>
      </w:r>
      <w:r w:rsidR="00465582">
        <w:t xml:space="preserve">Chapter </w:t>
      </w:r>
      <w:r w:rsidR="000E7F30">
        <w:t xml:space="preserve">11 </w:t>
      </w:r>
      <w:r w:rsidR="00465582">
        <w:t>inclu</w:t>
      </w:r>
      <w:r w:rsidR="00870074">
        <w:t xml:space="preserve">ding Section B, and therefore </w:t>
      </w:r>
      <w:r w:rsidR="00A91EDA">
        <w:t xml:space="preserve">further </w:t>
      </w:r>
      <w:r w:rsidR="00870074">
        <w:t>cond</w:t>
      </w:r>
      <w:r w:rsidR="00A91EDA">
        <w:t>i</w:t>
      </w:r>
      <w:r w:rsidR="00870074">
        <w:t>t</w:t>
      </w:r>
      <w:r w:rsidR="00A91EDA">
        <w:t>io</w:t>
      </w:r>
      <w:r w:rsidR="00870074">
        <w:t>n</w:t>
      </w:r>
      <w:r w:rsidR="00A91EDA">
        <w:t xml:space="preserve"> the offer to arbitrate. </w:t>
      </w:r>
      <w:r w:rsidR="00950B93">
        <w:t xml:space="preserve">Article 11.2(1), which provides for other Chapters to prevail in the event of inconsistency, also must apply to the whole of Chapter 11, and the same must be the case for Article 11.2(2). </w:t>
      </w:r>
      <w:r w:rsidR="00A91EDA">
        <w:t>The Judge did not suggest that each of those reference</w:t>
      </w:r>
      <w:r w:rsidR="00AC1D56">
        <w:t>s</w:t>
      </w:r>
      <w:r w:rsidR="00A91EDA">
        <w:t xml:space="preserve"> to </w:t>
      </w:r>
      <w:r w:rsidR="0081124A">
        <w:t xml:space="preserve">“this Chapter” should be read as “this Section”, and it would be </w:t>
      </w:r>
      <w:r w:rsidR="006767CD">
        <w:t xml:space="preserve">difficult to so read them. But it makes it </w:t>
      </w:r>
      <w:proofErr w:type="gramStart"/>
      <w:r w:rsidR="006767CD">
        <w:t>all the more</w:t>
      </w:r>
      <w:proofErr w:type="gramEnd"/>
      <w:r w:rsidR="006767CD">
        <w:t xml:space="preserve"> difficult to </w:t>
      </w:r>
      <w:r w:rsidR="00CC1D85">
        <w:t xml:space="preserve">make an exception just </w:t>
      </w:r>
      <w:r w:rsidR="00A003D2">
        <w:t xml:space="preserve">for </w:t>
      </w:r>
      <w:r w:rsidR="00CC1D85">
        <w:t>the</w:t>
      </w:r>
      <w:r w:rsidR="00A003D2">
        <w:t xml:space="preserve"> first usage o</w:t>
      </w:r>
      <w:r w:rsidR="00A374D2">
        <w:t xml:space="preserve">f that phrase in </w:t>
      </w:r>
      <w:r w:rsidR="00A003D2">
        <w:t>Article 11.1</w:t>
      </w:r>
      <w:r w:rsidR="00A374D2">
        <w:t>(1).</w:t>
      </w:r>
      <w:r w:rsidR="0081124A">
        <w:t xml:space="preserve"> </w:t>
      </w:r>
      <w:r w:rsidR="00870074">
        <w:t xml:space="preserve"> </w:t>
      </w:r>
    </w:p>
    <w:p w14:paraId="039FF389" w14:textId="7599F98F" w:rsidR="007D1771" w:rsidRDefault="00E56400" w:rsidP="00130DB4">
      <w:pPr>
        <w:pStyle w:val="ParaLevel1"/>
      </w:pPr>
      <w:r>
        <w:t xml:space="preserve">Once it is </w:t>
      </w:r>
      <w:r w:rsidR="00A374D2">
        <w:t>recognised</w:t>
      </w:r>
      <w:r>
        <w:t xml:space="preserve"> that matters outside </w:t>
      </w:r>
      <w:r w:rsidR="004519E8">
        <w:t>Section B of Chapter 11 are capable of affecting the offer to arbitrate</w:t>
      </w:r>
      <w:r w:rsidR="005A4A21">
        <w:t xml:space="preserve"> in Articles 11.16 and 11.17, </w:t>
      </w:r>
      <w:r w:rsidR="00C25BCA">
        <w:t xml:space="preserve">the Judge’s </w:t>
      </w:r>
      <w:r w:rsidR="009C3BF2">
        <w:t xml:space="preserve">further </w:t>
      </w:r>
      <w:r w:rsidR="00AE4878">
        <w:t>reading</w:t>
      </w:r>
      <w:r w:rsidR="007E424E">
        <w:t>-down</w:t>
      </w:r>
      <w:r w:rsidR="00AE4878">
        <w:t xml:space="preserve"> of the words “</w:t>
      </w:r>
      <w:r w:rsidR="00BA417F">
        <w:t xml:space="preserve">in accordance with this Agreement” in Article 11.17 </w:t>
      </w:r>
      <w:r w:rsidR="007E424E">
        <w:t>becomes unsupportable</w:t>
      </w:r>
      <w:r w:rsidR="00C80114">
        <w:t>, particular</w:t>
      </w:r>
      <w:r w:rsidR="009C3BF2">
        <w:t>ly</w:t>
      </w:r>
      <w:r w:rsidR="00C80114">
        <w:t xml:space="preserve"> where it </w:t>
      </w:r>
      <w:r w:rsidR="006400B1">
        <w:t xml:space="preserve">follows and is plainly intended to qualify </w:t>
      </w:r>
      <w:r w:rsidR="00EC07B4">
        <w:t xml:space="preserve">the consent of the States to </w:t>
      </w:r>
      <w:r w:rsidR="00A3421A">
        <w:t xml:space="preserve">the submission of a claim to arbitration under </w:t>
      </w:r>
      <w:r w:rsidR="009C3BF2">
        <w:t>“</w:t>
      </w:r>
      <w:r w:rsidR="00A3421A">
        <w:t>this Section”</w:t>
      </w:r>
      <w:r w:rsidR="007E424E">
        <w:t xml:space="preserve">. </w:t>
      </w:r>
      <w:r w:rsidR="00A3421A">
        <w:t xml:space="preserve">Korea </w:t>
      </w:r>
      <w:r w:rsidR="00B25512">
        <w:t>points out that</w:t>
      </w:r>
      <w:r w:rsidR="002A7039">
        <w:t xml:space="preserve">, in addition to </w:t>
      </w:r>
      <w:r w:rsidR="001463F9">
        <w:t xml:space="preserve">Articles in Section A of Chapter 11, </w:t>
      </w:r>
      <w:r w:rsidR="008E3397">
        <w:t xml:space="preserve">reference must also be had in determining the scope of the offer to arbitrate to the </w:t>
      </w:r>
      <w:r w:rsidR="000C4407">
        <w:t xml:space="preserve">clarification in </w:t>
      </w:r>
      <w:r w:rsidR="000C4407">
        <w:lastRenderedPageBreak/>
        <w:t xml:space="preserve">footnote 2 to </w:t>
      </w:r>
      <w:r w:rsidR="00811B48">
        <w:t>Chapter 12 of the Treaty which states that nothing in that Chapter</w:t>
      </w:r>
      <w:r w:rsidR="00FF2FA9">
        <w:t xml:space="preserve"> is subject to investor-state </w:t>
      </w:r>
      <w:r w:rsidR="00720C0C">
        <w:t xml:space="preserve">dispute </w:t>
      </w:r>
      <w:r w:rsidR="00FF2FA9">
        <w:t>settlement under</w:t>
      </w:r>
      <w:r w:rsidR="00B25512">
        <w:t xml:space="preserve"> </w:t>
      </w:r>
      <w:r w:rsidR="00FF2FA9">
        <w:t xml:space="preserve">Section </w:t>
      </w:r>
      <w:r w:rsidR="00F534E9">
        <w:t xml:space="preserve">B </w:t>
      </w:r>
      <w:r w:rsidR="00FF2FA9">
        <w:t>of Chapter 11.</w:t>
      </w:r>
      <w:r w:rsidR="00931DC6">
        <w:t xml:space="preserve"> </w:t>
      </w:r>
    </w:p>
    <w:p w14:paraId="60E7F354" w14:textId="7E7869F6" w:rsidR="00390726" w:rsidRDefault="001A6ED7" w:rsidP="00130DB4">
      <w:pPr>
        <w:pStyle w:val="ParaLevel1"/>
      </w:pPr>
      <w:r>
        <w:t xml:space="preserve">The Judge </w:t>
      </w:r>
      <w:r w:rsidR="00F658BD">
        <w:t xml:space="preserve">regarded it as highly significant that </w:t>
      </w:r>
      <w:r>
        <w:t xml:space="preserve">the offer to arbitrate in </w:t>
      </w:r>
      <w:r w:rsidR="009F3139">
        <w:t xml:space="preserve">Section B </w:t>
      </w:r>
      <w:r w:rsidR="006F233E">
        <w:t xml:space="preserve">of </w:t>
      </w:r>
      <w:r w:rsidR="00DB658A">
        <w:t xml:space="preserve">Chapter 11 of </w:t>
      </w:r>
      <w:r w:rsidR="006F233E">
        <w:t>the Treaty, in con</w:t>
      </w:r>
      <w:r w:rsidR="00297CEF">
        <w:t xml:space="preserve">trast with the position in NAFTA, </w:t>
      </w:r>
      <w:r>
        <w:t xml:space="preserve">extends </w:t>
      </w:r>
      <w:r w:rsidR="00486E4D">
        <w:t xml:space="preserve">beyond </w:t>
      </w:r>
      <w:r w:rsidR="00CD162E">
        <w:t xml:space="preserve">claims for </w:t>
      </w:r>
      <w:r w:rsidR="00486E4D">
        <w:t xml:space="preserve">breach of the obligations in Section A to include </w:t>
      </w:r>
      <w:r w:rsidR="00CD162E">
        <w:t xml:space="preserve">claims for </w:t>
      </w:r>
      <w:r w:rsidR="00486E4D">
        <w:t xml:space="preserve">breaches of investment authorizations and investment agreements. </w:t>
      </w:r>
      <w:r w:rsidR="00DA2EDE">
        <w:t xml:space="preserve">He regarded it </w:t>
      </w:r>
      <w:r w:rsidR="00456470">
        <w:t xml:space="preserve">as </w:t>
      </w:r>
      <w:r w:rsidR="00DA2EDE">
        <w:t>a</w:t>
      </w:r>
      <w:r w:rsidR="00A44B12">
        <w:t>n</w:t>
      </w:r>
      <w:r w:rsidR="00DA2EDE">
        <w:t xml:space="preserve"> </w:t>
      </w:r>
      <w:r w:rsidR="00A44B12">
        <w:t xml:space="preserve">unattractive aspect of </w:t>
      </w:r>
      <w:r w:rsidR="00EC1C08">
        <w:t xml:space="preserve">Korea’s interpretation that </w:t>
      </w:r>
      <w:r w:rsidR="00CD162E">
        <w:t xml:space="preserve">it would entail that </w:t>
      </w:r>
      <w:r w:rsidR="00632A9E">
        <w:t xml:space="preserve">the latter type of </w:t>
      </w:r>
      <w:r w:rsidR="00EC1C08">
        <w:t xml:space="preserve">claims </w:t>
      </w:r>
      <w:r w:rsidR="002D33D8">
        <w:t>could only be made if the requirements of Arti</w:t>
      </w:r>
      <w:r w:rsidR="005024DB">
        <w:t>c</w:t>
      </w:r>
      <w:r w:rsidR="002D33D8">
        <w:t>le 11.1(1) were satisfied</w:t>
      </w:r>
      <w:r w:rsidR="005024DB">
        <w:t>, meaning that disputes</w:t>
      </w:r>
      <w:r w:rsidR="004922BC">
        <w:t xml:space="preserve"> airing under an investment agreement might have to be determined in different fora, however closely related</w:t>
      </w:r>
      <w:r w:rsidR="00B864EE">
        <w:t>, with difficult</w:t>
      </w:r>
      <w:r w:rsidR="00390726">
        <w:t xml:space="preserve"> issues as to jurisdiction arising</w:t>
      </w:r>
      <w:r w:rsidR="002D33D8">
        <w:t xml:space="preserve">. </w:t>
      </w:r>
      <w:r w:rsidR="006F233E">
        <w:t xml:space="preserve">I </w:t>
      </w:r>
      <w:r w:rsidR="00857322">
        <w:t>do not</w:t>
      </w:r>
      <w:r w:rsidR="006F233E">
        <w:t xml:space="preserve"> see the </w:t>
      </w:r>
      <w:r w:rsidR="00297CEF">
        <w:t xml:space="preserve">force </w:t>
      </w:r>
      <w:r w:rsidR="00A303D2">
        <w:t>of</w:t>
      </w:r>
      <w:r w:rsidR="00297CEF">
        <w:t xml:space="preserve"> this point. </w:t>
      </w:r>
      <w:r w:rsidR="00322D4B">
        <w:t xml:space="preserve">If the </w:t>
      </w:r>
      <w:r w:rsidR="00C0525C">
        <w:t>wording of Chapter 11 is given its ordinary meaning, as in all ITA tribunal awards</w:t>
      </w:r>
      <w:r w:rsidR="00A83686">
        <w:t xml:space="preserve"> to date</w:t>
      </w:r>
      <w:r w:rsidR="00C0525C">
        <w:t xml:space="preserve">, </w:t>
      </w:r>
      <w:proofErr w:type="gramStart"/>
      <w:r w:rsidR="002E56F0">
        <w:t>it can be seen that the</w:t>
      </w:r>
      <w:proofErr w:type="gramEnd"/>
      <w:r w:rsidR="002E56F0">
        <w:t xml:space="preserve"> </w:t>
      </w:r>
      <w:r w:rsidR="00CC0657">
        <w:t xml:space="preserve">extension </w:t>
      </w:r>
      <w:r w:rsidR="002E56F0">
        <w:t xml:space="preserve">makes </w:t>
      </w:r>
      <w:r w:rsidR="00844E41">
        <w:t xml:space="preserve">it possible to bring </w:t>
      </w:r>
      <w:r w:rsidR="00CC0657">
        <w:t>c</w:t>
      </w:r>
      <w:r w:rsidR="00844E41">
        <w:t xml:space="preserve">laims </w:t>
      </w:r>
      <w:r w:rsidR="00CC0657">
        <w:t>for breach of an</w:t>
      </w:r>
      <w:r w:rsidR="00966F9A">
        <w:t xml:space="preserve"> </w:t>
      </w:r>
      <w:r w:rsidR="000A4E0E">
        <w:t>investment</w:t>
      </w:r>
      <w:r w:rsidR="00CC0657">
        <w:t xml:space="preserve"> authorization or </w:t>
      </w:r>
      <w:r w:rsidR="00FB6300">
        <w:t xml:space="preserve">agreement </w:t>
      </w:r>
      <w:r w:rsidR="00844E41">
        <w:t xml:space="preserve">when matters giving rise to a claim under Section A also </w:t>
      </w:r>
      <w:r w:rsidR="00CC0657">
        <w:t xml:space="preserve">give rise to </w:t>
      </w:r>
      <w:r w:rsidR="00FB6300">
        <w:t>such</w:t>
      </w:r>
      <w:r w:rsidR="00CC0657">
        <w:t xml:space="preserve"> claim</w:t>
      </w:r>
      <w:r w:rsidR="00FB6300">
        <w:t xml:space="preserve">s. The provision enables claims </w:t>
      </w:r>
      <w:r w:rsidR="00095A46">
        <w:t xml:space="preserve">which are </w:t>
      </w:r>
      <w:r w:rsidR="00B252BE">
        <w:t xml:space="preserve">based on the same alleged wrongdoing </w:t>
      </w:r>
      <w:r w:rsidR="00FB6300">
        <w:t xml:space="preserve">to </w:t>
      </w:r>
      <w:r w:rsidR="001D789E">
        <w:t xml:space="preserve">be </w:t>
      </w:r>
      <w:r w:rsidR="00FB6300">
        <w:t xml:space="preserve">brought </w:t>
      </w:r>
      <w:r w:rsidR="00095A46">
        <w:t>in</w:t>
      </w:r>
      <w:r w:rsidR="00FB6300">
        <w:t xml:space="preserve"> the same arbitral forum</w:t>
      </w:r>
      <w:r w:rsidR="00CC0657">
        <w:t xml:space="preserve"> </w:t>
      </w:r>
      <w:r w:rsidR="00FB6300">
        <w:t>rather than bifurcated because of the</w:t>
      </w:r>
      <w:r w:rsidR="00095A46">
        <w:t>ir different nature</w:t>
      </w:r>
      <w:r w:rsidR="00227ACB">
        <w:t xml:space="preserve">. If there are further claims which do not fall within the scope and coverage of the obligations </w:t>
      </w:r>
      <w:r w:rsidR="00393149">
        <w:t xml:space="preserve">undertaken by the relevant State in the Treaty, it is neither surprising nor troubling that they are not </w:t>
      </w:r>
      <w:r w:rsidR="002007AF">
        <w:t>included in</w:t>
      </w:r>
      <w:r w:rsidR="00D1501C">
        <w:t xml:space="preserve"> the offer to arbitrate. </w:t>
      </w:r>
      <w:r w:rsidR="00A64763">
        <w:t xml:space="preserve">I see no difficulty </w:t>
      </w:r>
      <w:r w:rsidR="00596DBB">
        <w:t>t</w:t>
      </w:r>
      <w:r w:rsidR="0028675C">
        <w:t xml:space="preserve">hat applying Article 11.1(1) </w:t>
      </w:r>
      <w:r w:rsidR="00D17EAE">
        <w:t>in determin</w:t>
      </w:r>
      <w:r w:rsidR="00596DBB">
        <w:t>ing</w:t>
      </w:r>
      <w:r w:rsidR="00D17EAE">
        <w:t xml:space="preserve"> whether </w:t>
      </w:r>
      <w:r w:rsidR="0028675C">
        <w:t>claims for breach of an investment agreement</w:t>
      </w:r>
      <w:r w:rsidR="001B5DD0">
        <w:t xml:space="preserve"> fall </w:t>
      </w:r>
      <w:r w:rsidR="00454C97">
        <w:t>within the offer to arbitrate</w:t>
      </w:r>
      <w:r w:rsidR="0028675C">
        <w:t xml:space="preserve"> </w:t>
      </w:r>
      <w:r w:rsidR="00D17EAE">
        <w:t>might</w:t>
      </w:r>
      <w:r w:rsidR="0028675C">
        <w:t xml:space="preserve"> entail </w:t>
      </w:r>
      <w:r w:rsidR="00FB2C01">
        <w:t xml:space="preserve">the application of </w:t>
      </w:r>
      <w:r w:rsidR="00831CA0">
        <w:t xml:space="preserve">a </w:t>
      </w:r>
      <w:r w:rsidR="00FB2C01">
        <w:t xml:space="preserve">different </w:t>
      </w:r>
      <w:r w:rsidR="00D17EAE">
        <w:t>governing law</w:t>
      </w:r>
      <w:r w:rsidR="007332C1">
        <w:t xml:space="preserve"> </w:t>
      </w:r>
      <w:r w:rsidR="00831CA0">
        <w:t>to that otherwise applicable to the investment agreement,</w:t>
      </w:r>
      <w:r w:rsidR="00596DBB">
        <w:t xml:space="preserve"> pursuant to Article 11.</w:t>
      </w:r>
      <w:r w:rsidR="007C637B">
        <w:t>22</w:t>
      </w:r>
      <w:r w:rsidR="00596DBB">
        <w:t xml:space="preserve">. </w:t>
      </w:r>
      <w:r w:rsidR="005567FB">
        <w:t xml:space="preserve">Any consideration of whether a claim is within the provisions of the offer to arbitrate </w:t>
      </w:r>
      <w:r w:rsidR="00D176D8">
        <w:t xml:space="preserve">will engage the law applicable to the interpretation of the Treaty, </w:t>
      </w:r>
      <w:proofErr w:type="gramStart"/>
      <w:r w:rsidR="00D176D8">
        <w:t>whether or not</w:t>
      </w:r>
      <w:proofErr w:type="gramEnd"/>
      <w:r w:rsidR="00D176D8">
        <w:t xml:space="preserve"> Article 11.</w:t>
      </w:r>
      <w:r w:rsidR="00456470">
        <w:t>1</w:t>
      </w:r>
      <w:r w:rsidR="00D176D8">
        <w:t xml:space="preserve">(1) is </w:t>
      </w:r>
      <w:r w:rsidR="00887DAC">
        <w:t>engaged.</w:t>
      </w:r>
      <w:r w:rsidR="00D176D8">
        <w:t xml:space="preserve"> </w:t>
      </w:r>
      <w:r w:rsidR="005567FB">
        <w:t xml:space="preserve"> </w:t>
      </w:r>
      <w:r w:rsidR="00D17EAE">
        <w:t xml:space="preserve"> </w:t>
      </w:r>
    </w:p>
    <w:p w14:paraId="52C2C9CB" w14:textId="25EB9803" w:rsidR="00673A5E" w:rsidRDefault="00055ADB" w:rsidP="00130DB4">
      <w:pPr>
        <w:pStyle w:val="ParaLevel1"/>
      </w:pPr>
      <w:r>
        <w:t>The Judge also placed weight</w:t>
      </w:r>
      <w:r w:rsidR="000A2805">
        <w:t xml:space="preserve">, which he recognised must be limited, </w:t>
      </w:r>
      <w:r>
        <w:t xml:space="preserve">on </w:t>
      </w:r>
      <w:r w:rsidR="005F728B">
        <w:t xml:space="preserve">the </w:t>
      </w:r>
      <w:r w:rsidR="00891E0C">
        <w:t xml:space="preserve">use of scope and coverage clauses in other chapters of the </w:t>
      </w:r>
      <w:r w:rsidR="0057641D">
        <w:t>T</w:t>
      </w:r>
      <w:r w:rsidR="00891E0C">
        <w:t>reaty</w:t>
      </w:r>
      <w:r w:rsidR="001E451A">
        <w:t xml:space="preserve">, pointing out that certain </w:t>
      </w:r>
      <w:r w:rsidR="00A4092A">
        <w:t xml:space="preserve">following </w:t>
      </w:r>
      <w:r w:rsidR="001E451A">
        <w:t>provisions</w:t>
      </w:r>
      <w:r w:rsidR="003C5583">
        <w:t xml:space="preserve"> </w:t>
      </w:r>
      <w:r w:rsidR="00A4092A">
        <w:t>cannot sensibly be viewed as falling within the delineated scope</w:t>
      </w:r>
      <w:r w:rsidR="00094DE3">
        <w:t xml:space="preserve"> of the </w:t>
      </w:r>
      <w:r w:rsidR="0057641D">
        <w:t>C</w:t>
      </w:r>
      <w:r w:rsidR="00094DE3">
        <w:t xml:space="preserve">hapter. </w:t>
      </w:r>
      <w:r w:rsidR="00A90210">
        <w:t xml:space="preserve">Those provisions, however, do not contain arbitration provisions </w:t>
      </w:r>
      <w:r w:rsidR="00F11EE3">
        <w:t>and no question of “jurisdiction” arises</w:t>
      </w:r>
      <w:r w:rsidR="007A65B6">
        <w:t xml:space="preserve">, for example, </w:t>
      </w:r>
      <w:r w:rsidR="00522493">
        <w:t xml:space="preserve">in relation to </w:t>
      </w:r>
      <w:r w:rsidR="007A65B6">
        <w:t>the agreement in Article 8</w:t>
      </w:r>
      <w:r w:rsidR="00522493">
        <w:t>.3</w:t>
      </w:r>
      <w:r w:rsidR="007A65B6">
        <w:t xml:space="preserve"> to establish a committee</w:t>
      </w:r>
      <w:r w:rsidR="00522493">
        <w:t xml:space="preserve"> </w:t>
      </w:r>
      <w:r w:rsidR="00B34DA2">
        <w:t xml:space="preserve">on sanitary and phytosanitary matters, even though </w:t>
      </w:r>
      <w:r w:rsidR="00595552">
        <w:t xml:space="preserve">it does not strictly relate to a </w:t>
      </w:r>
      <w:r w:rsidR="00BF6D11">
        <w:t>“</w:t>
      </w:r>
      <w:r w:rsidR="00595552">
        <w:t>measure</w:t>
      </w:r>
      <w:r w:rsidR="00BF6D11">
        <w:t>”</w:t>
      </w:r>
      <w:r w:rsidR="00595552">
        <w:t xml:space="preserve"> of one of the parties</w:t>
      </w:r>
      <w:r w:rsidR="008478E8">
        <w:t xml:space="preserve"> within Article 8.1</w:t>
      </w:r>
      <w:r w:rsidR="00595552">
        <w:t xml:space="preserve">. As the Judge recognised, Chapter 11 </w:t>
      </w:r>
      <w:r w:rsidR="007A161E">
        <w:t>can be seen as a form of BIT</w:t>
      </w:r>
      <w:r w:rsidR="009827F9">
        <w:t xml:space="preserve">, complete with arbitration provisions, and </w:t>
      </w:r>
      <w:r w:rsidR="009E5912">
        <w:t xml:space="preserve">the </w:t>
      </w:r>
      <w:r w:rsidR="00B97788">
        <w:t xml:space="preserve">Contracting </w:t>
      </w:r>
      <w:r w:rsidR="004555F6">
        <w:t>P</w:t>
      </w:r>
      <w:r w:rsidR="00B97788">
        <w:t xml:space="preserve">arties must be taken to have intended to define </w:t>
      </w:r>
      <w:r w:rsidR="00D81503">
        <w:t xml:space="preserve">the </w:t>
      </w:r>
      <w:r w:rsidR="00B0590A">
        <w:t xml:space="preserve">scope of the offer to arbitrate with a precision which might not have been required in other contexts. </w:t>
      </w:r>
      <w:r w:rsidR="00D81503">
        <w:t xml:space="preserve"> </w:t>
      </w:r>
      <w:r w:rsidR="001B76BD">
        <w:t xml:space="preserve"> </w:t>
      </w:r>
    </w:p>
    <w:p w14:paraId="7E9457A3" w14:textId="34E54BEA" w:rsidR="00F54517" w:rsidRDefault="00D5487C" w:rsidP="00130DB4">
      <w:pPr>
        <w:pStyle w:val="ParaLevel1"/>
      </w:pPr>
      <w:r>
        <w:t>I</w:t>
      </w:r>
      <w:r w:rsidR="00E74B14">
        <w:t xml:space="preserve">n my judgment </w:t>
      </w:r>
      <w:r w:rsidR="007C7C93">
        <w:t xml:space="preserve">the </w:t>
      </w:r>
      <w:r w:rsidR="004B2DE8">
        <w:t xml:space="preserve">“scope and coverage” </w:t>
      </w:r>
      <w:r w:rsidR="000C4A1B">
        <w:t xml:space="preserve">requirements </w:t>
      </w:r>
      <w:r w:rsidR="007C7C93">
        <w:t xml:space="preserve">of </w:t>
      </w:r>
      <w:r w:rsidR="00E74B14">
        <w:t>Article 11.1(1)</w:t>
      </w:r>
      <w:r w:rsidR="00673A5E">
        <w:t xml:space="preserve"> do </w:t>
      </w:r>
      <w:r w:rsidR="000C4A1B">
        <w:t xml:space="preserve">apply to Section B of Chapter 11 and </w:t>
      </w:r>
      <w:r w:rsidR="00673A5E">
        <w:t>i</w:t>
      </w:r>
      <w:r w:rsidR="007C7C93">
        <w:t>mpose jurisdictional limitations on</w:t>
      </w:r>
      <w:r w:rsidR="004B2DE8">
        <w:t xml:space="preserve"> </w:t>
      </w:r>
      <w:r w:rsidR="00893309">
        <w:t xml:space="preserve">the offer to arbitrate. The Judge was wrong to conclude otherwise. I recognise that </w:t>
      </w:r>
      <w:r w:rsidR="005D2999">
        <w:t xml:space="preserve">his view was followed and supported by the SICC, and that its judgment </w:t>
      </w:r>
      <w:r w:rsidR="00CF1147">
        <w:t xml:space="preserve">must be given independent weight and considerable respect. But I </w:t>
      </w:r>
      <w:r w:rsidR="008A3FED">
        <w:t xml:space="preserve">am not persuaded by </w:t>
      </w:r>
      <w:r w:rsidR="009079FB">
        <w:t xml:space="preserve">that </w:t>
      </w:r>
      <w:r w:rsidR="00CF1147">
        <w:t xml:space="preserve">judgment </w:t>
      </w:r>
      <w:r w:rsidR="009079FB">
        <w:t xml:space="preserve">for the </w:t>
      </w:r>
      <w:r w:rsidR="00756C42">
        <w:t xml:space="preserve">reasons set out above, to the extent that they are applicable to the SICC’s reasoning. If, as seems </w:t>
      </w:r>
      <w:r w:rsidR="00A12D81">
        <w:t>li</w:t>
      </w:r>
      <w:r w:rsidR="00DD18AB">
        <w:t>k</w:t>
      </w:r>
      <w:r w:rsidR="00A12D81">
        <w:t>e</w:t>
      </w:r>
      <w:r w:rsidR="00DD18AB">
        <w:t>l</w:t>
      </w:r>
      <w:r w:rsidR="00A12D81">
        <w:t xml:space="preserve">y in the circumstances, that decision is also appealed, the Singapore Court of Appeal will have this judgment to </w:t>
      </w:r>
      <w:r w:rsidR="00DD18AB">
        <w:t xml:space="preserve">consider </w:t>
      </w:r>
      <w:r w:rsidR="003C5583">
        <w:t>as well as that of the Judge.</w:t>
      </w:r>
    </w:p>
    <w:p w14:paraId="08E92582" w14:textId="03DA5832" w:rsidR="00640367" w:rsidRDefault="00640367" w:rsidP="00130DB4">
      <w:pPr>
        <w:pStyle w:val="ParaLevel1"/>
      </w:pPr>
      <w:r>
        <w:t xml:space="preserve">It follows that I would </w:t>
      </w:r>
      <w:r w:rsidR="004959D2">
        <w:t>uphold Korea’s main ground of appeal.</w:t>
      </w:r>
    </w:p>
    <w:p w14:paraId="7DA8EFB8" w14:textId="77777777" w:rsidR="00BD271A" w:rsidRDefault="00BD271A" w:rsidP="00130DB4">
      <w:pPr>
        <w:pStyle w:val="ParaLevel1"/>
        <w:numPr>
          <w:ilvl w:val="0"/>
          <w:numId w:val="0"/>
        </w:numPr>
        <w:rPr>
          <w:b/>
          <w:bCs/>
        </w:rPr>
      </w:pPr>
    </w:p>
    <w:p w14:paraId="57745013" w14:textId="4CEB65B0" w:rsidR="00640367" w:rsidRPr="00640367" w:rsidRDefault="00640367" w:rsidP="00130DB4">
      <w:pPr>
        <w:pStyle w:val="ParaLevel1"/>
        <w:numPr>
          <w:ilvl w:val="0"/>
          <w:numId w:val="0"/>
        </w:numPr>
        <w:rPr>
          <w:b/>
          <w:bCs/>
        </w:rPr>
      </w:pPr>
      <w:r>
        <w:rPr>
          <w:b/>
          <w:bCs/>
        </w:rPr>
        <w:lastRenderedPageBreak/>
        <w:t>Matters that need not be decided</w:t>
      </w:r>
    </w:p>
    <w:p w14:paraId="5A4850C2" w14:textId="0F1D56CC" w:rsidR="00E40E14" w:rsidRDefault="00781947" w:rsidP="00130DB4">
      <w:pPr>
        <w:pStyle w:val="ParaLevel1"/>
      </w:pPr>
      <w:r>
        <w:t xml:space="preserve">In view of that conclusion </w:t>
      </w:r>
      <w:r w:rsidR="00057A25">
        <w:t xml:space="preserve">I do not propose to </w:t>
      </w:r>
      <w:r>
        <w:t xml:space="preserve">consider the </w:t>
      </w:r>
      <w:r w:rsidR="00350B0E">
        <w:t>question</w:t>
      </w:r>
      <w:r w:rsidR="00D11BFE">
        <w:t xml:space="preserve">, posed by </w:t>
      </w:r>
      <w:r w:rsidR="00640367">
        <w:t xml:space="preserve">Korea’s second subsidiary ground of appeal, </w:t>
      </w:r>
      <w:r w:rsidR="00350B0E">
        <w:t xml:space="preserve">of whether </w:t>
      </w:r>
      <w:r w:rsidR="00FA59DB">
        <w:t xml:space="preserve">recourse can be </w:t>
      </w:r>
      <w:r w:rsidR="00E40E14">
        <w:t xml:space="preserve">had to </w:t>
      </w:r>
      <w:r w:rsidR="00350B0E">
        <w:t>ITA tribunal awards and other materials</w:t>
      </w:r>
      <w:r w:rsidR="00686056">
        <w:t>, including material post-dating the signature of the Treaty, n</w:t>
      </w:r>
      <w:r w:rsidR="00DD39AE">
        <w:t xml:space="preserve">ot merely for their persuasive force but as </w:t>
      </w:r>
      <w:r w:rsidR="00E40E14">
        <w:t>supplementary means of interpretation</w:t>
      </w:r>
      <w:r w:rsidR="00685A38">
        <w:t xml:space="preserve"> pursuant to Article 32 of the VCLT</w:t>
      </w:r>
      <w:r w:rsidR="00E40E14">
        <w:t xml:space="preserve">. </w:t>
      </w:r>
      <w:r w:rsidR="00F432CF">
        <w:t xml:space="preserve">It is sufficient to note </w:t>
      </w:r>
      <w:r w:rsidR="00DD39AE">
        <w:t xml:space="preserve">for present purposes </w:t>
      </w:r>
      <w:r w:rsidR="00F432CF">
        <w:t>that th</w:t>
      </w:r>
      <w:r w:rsidR="00057A25">
        <w:t>e awards</w:t>
      </w:r>
      <w:r w:rsidR="0097095A">
        <w:t xml:space="preserve">, published by </w:t>
      </w:r>
      <w:r w:rsidR="00A5381E">
        <w:t xml:space="preserve">tribunals comprising </w:t>
      </w:r>
      <w:r w:rsidR="0097095A">
        <w:t>a long list of highly respected international arbitrators,</w:t>
      </w:r>
      <w:r w:rsidR="00057A25">
        <w:t xml:space="preserve"> uniformly reached the same conclusion as I have</w:t>
      </w:r>
      <w:r w:rsidR="00561DBE">
        <w:t xml:space="preserve"> as to the proper interpretation of the Treaty</w:t>
      </w:r>
      <w:r w:rsidR="009B0585">
        <w:t xml:space="preserve">.  </w:t>
      </w:r>
      <w:r w:rsidR="00057A25">
        <w:t xml:space="preserve"> </w:t>
      </w:r>
    </w:p>
    <w:p w14:paraId="2C1721C8" w14:textId="581216AC" w:rsidR="002901EC" w:rsidRDefault="00E40E14" w:rsidP="00130DB4">
      <w:pPr>
        <w:pStyle w:val="ParaLevel1"/>
      </w:pPr>
      <w:r>
        <w:t xml:space="preserve">Neither is it necessary </w:t>
      </w:r>
      <w:r w:rsidR="009977F9">
        <w:t xml:space="preserve">or appropriate </w:t>
      </w:r>
      <w:r>
        <w:t xml:space="preserve">to consider the </w:t>
      </w:r>
      <w:r w:rsidR="00F432CF">
        <w:t>admissibility and</w:t>
      </w:r>
      <w:r w:rsidR="00723D07">
        <w:t>, if admissible, the</w:t>
      </w:r>
      <w:r w:rsidR="00F432CF">
        <w:t xml:space="preserve"> </w:t>
      </w:r>
      <w:r w:rsidR="00DD39AE">
        <w:t xml:space="preserve">effect </w:t>
      </w:r>
      <w:r w:rsidR="00F432CF">
        <w:t xml:space="preserve">of the </w:t>
      </w:r>
      <w:r w:rsidR="007A1203">
        <w:t>exchange of diplomatic notes</w:t>
      </w:r>
      <w:r w:rsidR="001C0A53">
        <w:t xml:space="preserve">. The SICC in </w:t>
      </w:r>
      <w:r w:rsidR="001C0A53" w:rsidRPr="0000487B">
        <w:rPr>
          <w:i/>
          <w:iCs/>
        </w:rPr>
        <w:t xml:space="preserve">Mason </w:t>
      </w:r>
      <w:r w:rsidR="0048365E">
        <w:t xml:space="preserve">admitted the very same exchange as evidence for the purposes of Korea’s application, </w:t>
      </w:r>
      <w:r w:rsidR="00327498">
        <w:t xml:space="preserve">but did not accept that it was a “subsequent agreement between the parties” for the purposes of </w:t>
      </w:r>
      <w:r w:rsidR="002E265D">
        <w:t>Article 31.3(a)</w:t>
      </w:r>
      <w:r w:rsidR="00A54D29" w:rsidRPr="00A54D29">
        <w:t xml:space="preserve"> </w:t>
      </w:r>
      <w:r w:rsidR="00A54D29">
        <w:t>of the VCLT</w:t>
      </w:r>
      <w:r w:rsidR="00515852">
        <w:t xml:space="preserve">, not being an interpretation issued </w:t>
      </w:r>
      <w:r w:rsidR="00B822BB">
        <w:t>by the Joint Committee established by Article 22.2 of the Treaty</w:t>
      </w:r>
      <w:r w:rsidR="00D44842">
        <w:t>, nor</w:t>
      </w:r>
      <w:r w:rsidR="002E265D">
        <w:t xml:space="preserve"> </w:t>
      </w:r>
      <w:r w:rsidR="00CE27A6">
        <w:t xml:space="preserve">that it was a “subsequent </w:t>
      </w:r>
      <w:r w:rsidR="00F22C9F">
        <w:t>practice in the application of” the Treaty for the purposes of Article 31.3(b)</w:t>
      </w:r>
      <w:r w:rsidR="00D11BFE">
        <w:t xml:space="preserve"> of the VCLT. </w:t>
      </w:r>
      <w:r w:rsidR="004959D2">
        <w:t xml:space="preserve">The exchange was admitted solely as the </w:t>
      </w:r>
      <w:r w:rsidR="006A7E9A">
        <w:t>opinions</w:t>
      </w:r>
      <w:r w:rsidR="004959D2">
        <w:t xml:space="preserve"> of </w:t>
      </w:r>
      <w:r w:rsidR="006A7E9A">
        <w:t>the Contracting States, even though they w</w:t>
      </w:r>
      <w:r w:rsidR="0083428B">
        <w:t>e</w:t>
      </w:r>
      <w:r w:rsidR="006A7E9A">
        <w:t>r</w:t>
      </w:r>
      <w:r w:rsidR="0083428B">
        <w:t xml:space="preserve">e issued long after the “critical date”, but the SICC </w:t>
      </w:r>
      <w:r w:rsidR="00D170D5">
        <w:t>was not persuaded by them.</w:t>
      </w:r>
      <w:r w:rsidR="0000487B">
        <w:t xml:space="preserve"> </w:t>
      </w:r>
      <w:r w:rsidR="00D170D5">
        <w:t xml:space="preserve">I do not propose to venture into those </w:t>
      </w:r>
      <w:r w:rsidR="007C6C07">
        <w:t xml:space="preserve">contentious </w:t>
      </w:r>
      <w:proofErr w:type="gramStart"/>
      <w:r w:rsidR="007C6C07">
        <w:t>issues, but</w:t>
      </w:r>
      <w:proofErr w:type="gramEnd"/>
      <w:r w:rsidR="007C6C07">
        <w:t xml:space="preserve"> simply note that</w:t>
      </w:r>
      <w:r w:rsidR="00B822BB">
        <w:t xml:space="preserve"> </w:t>
      </w:r>
      <w:r w:rsidR="00CD201E">
        <w:t xml:space="preserve">the conclusion I have reached as to the interpretation of Chapter 11 </w:t>
      </w:r>
      <w:r w:rsidR="003D1901">
        <w:t xml:space="preserve">of the Treaty </w:t>
      </w:r>
      <w:r w:rsidR="00CD201E">
        <w:t xml:space="preserve">coincides with the </w:t>
      </w:r>
      <w:r w:rsidR="00DD493F">
        <w:t xml:space="preserve">shared </w:t>
      </w:r>
      <w:r w:rsidR="003D1901">
        <w:t>view expressed by the Contracting Parties</w:t>
      </w:r>
      <w:r w:rsidR="00D44842">
        <w:t xml:space="preserve"> as to the meaning of the agreement between them</w:t>
      </w:r>
      <w:r w:rsidR="00DD493F">
        <w:t xml:space="preserve">. </w:t>
      </w:r>
    </w:p>
    <w:p w14:paraId="36A58FD0" w14:textId="649AF7BA" w:rsidR="00F54517" w:rsidRPr="00A77ECF" w:rsidRDefault="00A77ECF" w:rsidP="00130DB4">
      <w:pPr>
        <w:pStyle w:val="ParaLevel1"/>
        <w:numPr>
          <w:ilvl w:val="0"/>
          <w:numId w:val="0"/>
        </w:numPr>
        <w:rPr>
          <w:b/>
          <w:bCs/>
        </w:rPr>
      </w:pPr>
      <w:r w:rsidRPr="00A77ECF">
        <w:rPr>
          <w:b/>
          <w:bCs/>
        </w:rPr>
        <w:t>Conc</w:t>
      </w:r>
      <w:r>
        <w:rPr>
          <w:b/>
          <w:bCs/>
        </w:rPr>
        <w:t>l</w:t>
      </w:r>
      <w:r w:rsidRPr="00A77ECF">
        <w:rPr>
          <w:b/>
          <w:bCs/>
        </w:rPr>
        <w:t>usion</w:t>
      </w:r>
    </w:p>
    <w:p w14:paraId="4245CDDC" w14:textId="5C783886" w:rsidR="00F54517" w:rsidRDefault="00A77ECF" w:rsidP="00130DB4">
      <w:pPr>
        <w:pStyle w:val="ParaLevel1"/>
      </w:pPr>
      <w:r>
        <w:t xml:space="preserve">For the above reasons I would allow the appeal. As anticipated by the Judge, </w:t>
      </w:r>
      <w:r w:rsidR="00311CD3">
        <w:t xml:space="preserve">this would entail that </w:t>
      </w:r>
      <w:r>
        <w:t xml:space="preserve">Korea’s application </w:t>
      </w:r>
      <w:r w:rsidR="0085046D">
        <w:t>under s</w:t>
      </w:r>
      <w:r w:rsidR="004B1DD7">
        <w:t>ection</w:t>
      </w:r>
      <w:r w:rsidR="0085046D">
        <w:t xml:space="preserve"> 67 of the 1996 Act </w:t>
      </w:r>
      <w:r w:rsidR="00311CD3">
        <w:t xml:space="preserve">be </w:t>
      </w:r>
      <w:proofErr w:type="gramStart"/>
      <w:r w:rsidR="00311CD3">
        <w:t xml:space="preserve">referred </w:t>
      </w:r>
      <w:r w:rsidR="0085046D">
        <w:t>back</w:t>
      </w:r>
      <w:proofErr w:type="gramEnd"/>
      <w:r w:rsidR="0085046D">
        <w:t xml:space="preserve"> to the Commercial Court for determination on its merits</w:t>
      </w:r>
      <w:r w:rsidR="009C4B85">
        <w:t>, by the Judge if he is availab</w:t>
      </w:r>
      <w:r w:rsidR="00864769">
        <w:t>le.</w:t>
      </w:r>
    </w:p>
    <w:p w14:paraId="2EA5CB9C" w14:textId="77777777" w:rsidR="00053223" w:rsidRPr="00053223" w:rsidRDefault="00053223" w:rsidP="00130DB4">
      <w:pPr>
        <w:pStyle w:val="ParaHeading"/>
        <w:rPr>
          <w:b/>
          <w:bCs/>
        </w:rPr>
      </w:pPr>
      <w:r w:rsidRPr="00053223">
        <w:rPr>
          <w:b/>
          <w:bCs/>
        </w:rPr>
        <w:t>Lady Justice Falk</w:t>
      </w:r>
    </w:p>
    <w:p w14:paraId="6BDDDDC6" w14:textId="79A811F0" w:rsidR="00053223" w:rsidRDefault="008A0151" w:rsidP="00130DB4">
      <w:pPr>
        <w:pStyle w:val="ParaLevel1"/>
      </w:pPr>
      <w:r>
        <w:t xml:space="preserve">I agree. </w:t>
      </w:r>
      <w:r w:rsidR="005F6776">
        <w:t>The sole issue on this appeal is the correct interpretation</w:t>
      </w:r>
      <w:r w:rsidR="006E3362">
        <w:t xml:space="preserve"> of Chapter 11 of the </w:t>
      </w:r>
      <w:r w:rsidR="00CF3642">
        <w:t>KORUS FTA</w:t>
      </w:r>
      <w:r w:rsidR="006E3362">
        <w:t>, and specifically whether</w:t>
      </w:r>
      <w:r w:rsidR="00942A27">
        <w:t xml:space="preserve"> Article 11.1(1)</w:t>
      </w:r>
      <w:r w:rsidR="00794401">
        <w:t xml:space="preserve"> </w:t>
      </w:r>
      <w:r w:rsidR="00D90F95">
        <w:t xml:space="preserve">imposes conditions on the offer to arbitrate in Article </w:t>
      </w:r>
      <w:r w:rsidR="002549EF">
        <w:t>11.16.</w:t>
      </w:r>
      <w:r w:rsidR="006D3EE8">
        <w:t xml:space="preserve"> </w:t>
      </w:r>
      <w:r w:rsidR="007560D2">
        <w:t xml:space="preserve">There is no </w:t>
      </w:r>
      <w:r w:rsidR="00550F3B">
        <w:t>dispute that, if it does, section 67 of the 1996 Act is engaged.</w:t>
      </w:r>
    </w:p>
    <w:p w14:paraId="492CEEE2" w14:textId="57402EFD" w:rsidR="00142145" w:rsidRDefault="00142145" w:rsidP="00130DB4">
      <w:pPr>
        <w:pStyle w:val="ParaLevel1"/>
      </w:pPr>
      <w:r>
        <w:t xml:space="preserve">The principles to be applied in </w:t>
      </w:r>
      <w:r w:rsidR="00CF3642">
        <w:t xml:space="preserve">interpreting a treaty are well established. As the </w:t>
      </w:r>
      <w:r w:rsidR="006D75A6">
        <w:t>J</w:t>
      </w:r>
      <w:r w:rsidR="00CF3642">
        <w:t>udge explained</w:t>
      </w:r>
      <w:r w:rsidR="00EB3142">
        <w:t>, they are set out in Articles 31 and 32</w:t>
      </w:r>
      <w:r w:rsidR="000D191B">
        <w:t xml:space="preserve"> of the VCLT</w:t>
      </w:r>
      <w:r w:rsidR="00EB3142">
        <w:t xml:space="preserve">. Those provisions have been considered by courts in this jurisdiction on numerous occasions, including </w:t>
      </w:r>
      <w:r w:rsidR="00E00520">
        <w:t xml:space="preserve">most recently by this court in </w:t>
      </w:r>
      <w:r w:rsidR="00993F7F" w:rsidRPr="00686056">
        <w:rPr>
          <w:i/>
          <w:iCs/>
        </w:rPr>
        <w:t>Czech Republic v Diag Human and Stava</w:t>
      </w:r>
      <w:r w:rsidR="00397D42">
        <w:t xml:space="preserve"> [2025]</w:t>
      </w:r>
      <w:r w:rsidR="00B435BA">
        <w:t xml:space="preserve"> EWCA Civ 588 (in the context of a </w:t>
      </w:r>
      <w:r w:rsidR="00667C6D" w:rsidRPr="00667C6D">
        <w:t>bilateral investment treaty</w:t>
      </w:r>
      <w:r w:rsidR="00667C6D">
        <w:t>)</w:t>
      </w:r>
      <w:r w:rsidR="003301A2">
        <w:t xml:space="preserve"> and </w:t>
      </w:r>
      <w:r w:rsidR="00950E25">
        <w:t xml:space="preserve">in </w:t>
      </w:r>
      <w:r w:rsidR="00950E25" w:rsidRPr="00686056">
        <w:rPr>
          <w:i/>
          <w:iCs/>
        </w:rPr>
        <w:t>VietJet Aviation</w:t>
      </w:r>
      <w:r w:rsidR="00FD622C" w:rsidRPr="00686056">
        <w:rPr>
          <w:i/>
          <w:iCs/>
        </w:rPr>
        <w:t xml:space="preserve"> v FW Aviation</w:t>
      </w:r>
      <w:r w:rsidR="00FD622C">
        <w:t xml:space="preserve"> </w:t>
      </w:r>
      <w:r w:rsidR="00FD622C" w:rsidRPr="00FD622C">
        <w:t>[2025] EWCA Civ 783</w:t>
      </w:r>
      <w:r w:rsidR="00FD622C">
        <w:t xml:space="preserve"> (in the context of a double tax treaty). </w:t>
      </w:r>
      <w:r w:rsidR="000D191B">
        <w:t>It is not necessary to review them again.</w:t>
      </w:r>
      <w:r w:rsidR="00A10A6C">
        <w:t xml:space="preserve"> However, it is worth reiterating that </w:t>
      </w:r>
      <w:r w:rsidR="0086167E">
        <w:t xml:space="preserve">the </w:t>
      </w:r>
      <w:r w:rsidR="00AC7C22">
        <w:t>required focus is on the</w:t>
      </w:r>
      <w:r w:rsidR="0086167E">
        <w:t xml:space="preserve"> “ordinar</w:t>
      </w:r>
      <w:r w:rsidR="005202E5">
        <w:t>y meaning” of the words used</w:t>
      </w:r>
      <w:r w:rsidR="00AC7C22">
        <w:t>,</w:t>
      </w:r>
      <w:r w:rsidR="005202E5">
        <w:t xml:space="preserve"> interpreted </w:t>
      </w:r>
      <w:r w:rsidR="00673637">
        <w:t>in their context and in the light of the object and purpose of the treaty.</w:t>
      </w:r>
    </w:p>
    <w:p w14:paraId="174AC2B4" w14:textId="6FA86C46" w:rsidR="00E006DC" w:rsidRDefault="00E35060" w:rsidP="00130DB4">
      <w:pPr>
        <w:pStyle w:val="ParaLevel1"/>
      </w:pPr>
      <w:r>
        <w:t>The ordinary meaning of the words</w:t>
      </w:r>
      <w:r w:rsidR="00E77BB3">
        <w:t xml:space="preserve"> “This Chapter” in Article 11.1(1) are clear. </w:t>
      </w:r>
      <w:r w:rsidR="00000EEB">
        <w:t xml:space="preserve">For the reasons given by </w:t>
      </w:r>
      <w:r w:rsidR="004709E6">
        <w:t>Phillips LJ</w:t>
      </w:r>
      <w:r w:rsidR="000F61A5">
        <w:t xml:space="preserve">, </w:t>
      </w:r>
      <w:r w:rsidR="00B27E91">
        <w:t>that their effect is indeed to make the offer to arbitrate in Article 11.16 subject to</w:t>
      </w:r>
      <w:r w:rsidR="00771BFC">
        <w:t xml:space="preserve"> the provisions of Article 11.1(1) is supported </w:t>
      </w:r>
      <w:r w:rsidR="00F14E7C">
        <w:t xml:space="preserve">both by the </w:t>
      </w:r>
      <w:r w:rsidR="00F14E7C">
        <w:lastRenderedPageBreak/>
        <w:t>context</w:t>
      </w:r>
      <w:r w:rsidR="00F84CDB">
        <w:t xml:space="preserve"> (including other provisions in Section A of Chapter 11)</w:t>
      </w:r>
      <w:r w:rsidR="00F14E7C">
        <w:t xml:space="preserve"> and </w:t>
      </w:r>
      <w:r w:rsidR="001E72AD">
        <w:t xml:space="preserve">by </w:t>
      </w:r>
      <w:r w:rsidR="00F14E7C">
        <w:t xml:space="preserve">considerations of object and purpose. </w:t>
      </w:r>
      <w:proofErr w:type="gramStart"/>
      <w:r w:rsidR="00F14E7C">
        <w:t>In particular, I</w:t>
      </w:r>
      <w:proofErr w:type="gramEnd"/>
      <w:r w:rsidR="00F14E7C">
        <w:t xml:space="preserve"> would emphasise that </w:t>
      </w:r>
      <w:r w:rsidR="0063549F">
        <w:t xml:space="preserve">it is only in Article 11.1(1) that a restriction can be </w:t>
      </w:r>
      <w:r w:rsidR="00466C43">
        <w:t>found confining the offer to arbitrate to investments</w:t>
      </w:r>
      <w:r w:rsidR="009A2A87">
        <w:t xml:space="preserve"> made in the territory of one of the States</w:t>
      </w:r>
      <w:r w:rsidR="00344419">
        <w:t xml:space="preserve">. </w:t>
      </w:r>
    </w:p>
    <w:p w14:paraId="7DB61D92" w14:textId="5C2BB478" w:rsidR="002366F2" w:rsidRDefault="002366F2" w:rsidP="00130DB4">
      <w:pPr>
        <w:pStyle w:val="ParaLevel1"/>
      </w:pPr>
      <w:r>
        <w:t xml:space="preserve">Further, I do not attach the same significance as the </w:t>
      </w:r>
      <w:r w:rsidR="001C37BD">
        <w:t>J</w:t>
      </w:r>
      <w:r>
        <w:t>udge to the fact that Article 11.16 also extends to breaches of investment authorizations and agreements. The proviso in Article 11.16(1) in any event places limits on what sorts of disputes under an investment agreement are subject to the offer to arbitrate, so the risk of disputes under investment authorizations and agreements being determined in different fora exists irrespective of whether Article 11.1(1) also applies. The application of Article 11.1(1) is simply a further qualification. And while it may be that determining whether Article 11.1(1) applies involves issues that might be regarded as ones that are integrated with the merits of the dispute, that will be fact-dependent and cannot of itself determine the correct interpretation of the Treaty.</w:t>
      </w:r>
    </w:p>
    <w:p w14:paraId="41A5D1B5" w14:textId="77777777" w:rsidR="00053223" w:rsidRPr="00053223" w:rsidRDefault="00053223" w:rsidP="00130DB4">
      <w:pPr>
        <w:pStyle w:val="ParaHeading"/>
        <w:rPr>
          <w:b/>
          <w:bCs/>
        </w:rPr>
      </w:pPr>
      <w:r w:rsidRPr="00053223">
        <w:rPr>
          <w:b/>
          <w:bCs/>
        </w:rPr>
        <w:t>Lord Justice Bean</w:t>
      </w:r>
    </w:p>
    <w:p w14:paraId="46657927" w14:textId="38B5B54F" w:rsidR="00053223" w:rsidRDefault="001E1516" w:rsidP="00130DB4">
      <w:pPr>
        <w:pStyle w:val="ParaLevel1"/>
      </w:pPr>
      <w:r>
        <w:t>I agree with both judgments.</w:t>
      </w:r>
    </w:p>
    <w:sectPr w:rsidR="00053223" w:rsidSect="00130DB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BCDC" w14:textId="77777777" w:rsidR="004E762A" w:rsidRDefault="004E762A">
      <w:r>
        <w:separator/>
      </w:r>
    </w:p>
  </w:endnote>
  <w:endnote w:type="continuationSeparator" w:id="0">
    <w:p w14:paraId="14516C08" w14:textId="77777777" w:rsidR="004E762A" w:rsidRDefault="004E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3525" w14:textId="77777777" w:rsidR="00130DB4" w:rsidRDefault="00130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7856"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3DB2" w14:textId="77777777" w:rsidR="00130DB4" w:rsidRDefault="00130D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BC08" w14:textId="77777777" w:rsidR="00C439A3" w:rsidRPr="00130DB4" w:rsidRDefault="00C439A3" w:rsidP="0013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7BF3" w14:textId="77777777" w:rsidR="004E762A" w:rsidRDefault="004E762A">
      <w:r>
        <w:separator/>
      </w:r>
    </w:p>
  </w:footnote>
  <w:footnote w:type="continuationSeparator" w:id="0">
    <w:p w14:paraId="090229DE" w14:textId="77777777" w:rsidR="004E762A" w:rsidRDefault="004E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F4DA" w14:textId="77777777" w:rsidR="00130DB4" w:rsidRDefault="00130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8E02E" w14:textId="77777777" w:rsidR="00130DB4" w:rsidRDefault="00130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123C" w14:textId="77777777" w:rsidR="00130DB4" w:rsidRDefault="00130D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622"/>
      <w:gridCol w:w="4622"/>
    </w:tblGrid>
    <w:tr w:rsidR="00C439A3" w14:paraId="4E8EDCE0" w14:textId="77777777">
      <w:tc>
        <w:tcPr>
          <w:tcW w:w="4622" w:type="dxa"/>
        </w:tcPr>
        <w:p w14:paraId="29F9FD35" w14:textId="1E95267B" w:rsidR="00C439A3" w:rsidRPr="00130DB4" w:rsidRDefault="00130DB4">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673ABB3" w14:textId="3826240C" w:rsidR="00C439A3" w:rsidRDefault="00AA0337">
          <w:pPr>
            <w:pStyle w:val="Header"/>
            <w:jc w:val="right"/>
            <w:rPr>
              <w:rFonts w:ascii="Times New Roman" w:hAnsi="Times New Roman"/>
              <w:sz w:val="16"/>
            </w:rPr>
          </w:pPr>
          <w:r>
            <w:rPr>
              <w:rFonts w:ascii="Times New Roman" w:hAnsi="Times New Roman"/>
              <w:sz w:val="16"/>
            </w:rPr>
            <w:t>Republic of Korea v Elliott Associates</w:t>
          </w:r>
        </w:p>
      </w:tc>
    </w:tr>
  </w:tbl>
  <w:p w14:paraId="59BC581D"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851"/>
        </w:tabs>
        <w:ind w:left="851"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780366758">
    <w:abstractNumId w:val="1"/>
  </w:num>
  <w:num w:numId="2" w16cid:durableId="1154495725">
    <w:abstractNumId w:val="1"/>
  </w:num>
  <w:num w:numId="3" w16cid:durableId="606891561">
    <w:abstractNumId w:val="1"/>
  </w:num>
  <w:num w:numId="4" w16cid:durableId="918909222">
    <w:abstractNumId w:val="1"/>
  </w:num>
  <w:num w:numId="5" w16cid:durableId="1203247132">
    <w:abstractNumId w:val="1"/>
  </w:num>
  <w:num w:numId="6" w16cid:durableId="18707427">
    <w:abstractNumId w:val="1"/>
  </w:num>
  <w:num w:numId="7" w16cid:durableId="549272283">
    <w:abstractNumId w:val="1"/>
  </w:num>
  <w:num w:numId="8" w16cid:durableId="1756003434">
    <w:abstractNumId w:val="1"/>
  </w:num>
  <w:num w:numId="9" w16cid:durableId="272439843">
    <w:abstractNumId w:val="1"/>
  </w:num>
  <w:num w:numId="10" w16cid:durableId="564879749">
    <w:abstractNumId w:val="0"/>
  </w:num>
  <w:num w:numId="11" w16cid:durableId="1261572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7455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23"/>
    <w:rsid w:val="00000AA4"/>
    <w:rsid w:val="00000D43"/>
    <w:rsid w:val="00000EEB"/>
    <w:rsid w:val="00001A62"/>
    <w:rsid w:val="00003FD7"/>
    <w:rsid w:val="0000487B"/>
    <w:rsid w:val="00005CFB"/>
    <w:rsid w:val="00006728"/>
    <w:rsid w:val="000072E6"/>
    <w:rsid w:val="000076F3"/>
    <w:rsid w:val="00007A1D"/>
    <w:rsid w:val="00010303"/>
    <w:rsid w:val="00011B8E"/>
    <w:rsid w:val="0001255C"/>
    <w:rsid w:val="00012B25"/>
    <w:rsid w:val="00013ACD"/>
    <w:rsid w:val="00014287"/>
    <w:rsid w:val="000160E5"/>
    <w:rsid w:val="00017B4D"/>
    <w:rsid w:val="00022023"/>
    <w:rsid w:val="0002603F"/>
    <w:rsid w:val="00026068"/>
    <w:rsid w:val="0002701F"/>
    <w:rsid w:val="00027363"/>
    <w:rsid w:val="000303B0"/>
    <w:rsid w:val="00030645"/>
    <w:rsid w:val="000314E7"/>
    <w:rsid w:val="00032E73"/>
    <w:rsid w:val="00034261"/>
    <w:rsid w:val="00034750"/>
    <w:rsid w:val="00034C1B"/>
    <w:rsid w:val="00035B0B"/>
    <w:rsid w:val="00036AC1"/>
    <w:rsid w:val="0004070E"/>
    <w:rsid w:val="00043BFC"/>
    <w:rsid w:val="00044A84"/>
    <w:rsid w:val="00046005"/>
    <w:rsid w:val="00047B4F"/>
    <w:rsid w:val="000519B6"/>
    <w:rsid w:val="00053223"/>
    <w:rsid w:val="00053C3D"/>
    <w:rsid w:val="00054A6E"/>
    <w:rsid w:val="00055ADB"/>
    <w:rsid w:val="00056738"/>
    <w:rsid w:val="00057211"/>
    <w:rsid w:val="00057A25"/>
    <w:rsid w:val="00057AE2"/>
    <w:rsid w:val="000620D3"/>
    <w:rsid w:val="000633E2"/>
    <w:rsid w:val="00064260"/>
    <w:rsid w:val="000656FC"/>
    <w:rsid w:val="00066394"/>
    <w:rsid w:val="000670C1"/>
    <w:rsid w:val="00067255"/>
    <w:rsid w:val="0006753A"/>
    <w:rsid w:val="000678AA"/>
    <w:rsid w:val="00072CE9"/>
    <w:rsid w:val="0007324E"/>
    <w:rsid w:val="000733B6"/>
    <w:rsid w:val="00080013"/>
    <w:rsid w:val="00080CF9"/>
    <w:rsid w:val="000823AA"/>
    <w:rsid w:val="00084902"/>
    <w:rsid w:val="000948B3"/>
    <w:rsid w:val="00094DE3"/>
    <w:rsid w:val="00095A46"/>
    <w:rsid w:val="00095D5B"/>
    <w:rsid w:val="00097B00"/>
    <w:rsid w:val="000A2805"/>
    <w:rsid w:val="000A31E9"/>
    <w:rsid w:val="000A3F18"/>
    <w:rsid w:val="000A4472"/>
    <w:rsid w:val="000A4E0E"/>
    <w:rsid w:val="000A5485"/>
    <w:rsid w:val="000A583E"/>
    <w:rsid w:val="000A6AA3"/>
    <w:rsid w:val="000A6F7B"/>
    <w:rsid w:val="000B1D92"/>
    <w:rsid w:val="000C003A"/>
    <w:rsid w:val="000C0475"/>
    <w:rsid w:val="000C068B"/>
    <w:rsid w:val="000C0ECE"/>
    <w:rsid w:val="000C4407"/>
    <w:rsid w:val="000C4A1B"/>
    <w:rsid w:val="000C5D5E"/>
    <w:rsid w:val="000C7F74"/>
    <w:rsid w:val="000D17D7"/>
    <w:rsid w:val="000D191B"/>
    <w:rsid w:val="000D2DEF"/>
    <w:rsid w:val="000D32EB"/>
    <w:rsid w:val="000D3CAA"/>
    <w:rsid w:val="000D4675"/>
    <w:rsid w:val="000D5766"/>
    <w:rsid w:val="000D5F94"/>
    <w:rsid w:val="000D74F0"/>
    <w:rsid w:val="000D7EA6"/>
    <w:rsid w:val="000E08D7"/>
    <w:rsid w:val="000E1B6A"/>
    <w:rsid w:val="000E1CCD"/>
    <w:rsid w:val="000E53F8"/>
    <w:rsid w:val="000E75B6"/>
    <w:rsid w:val="000E794E"/>
    <w:rsid w:val="000E7F30"/>
    <w:rsid w:val="000F3BDF"/>
    <w:rsid w:val="000F54E5"/>
    <w:rsid w:val="000F61A5"/>
    <w:rsid w:val="000F6576"/>
    <w:rsid w:val="000F6A69"/>
    <w:rsid w:val="001026A7"/>
    <w:rsid w:val="001026B7"/>
    <w:rsid w:val="00103452"/>
    <w:rsid w:val="00105397"/>
    <w:rsid w:val="00106FD6"/>
    <w:rsid w:val="00107409"/>
    <w:rsid w:val="00107D9B"/>
    <w:rsid w:val="0011091B"/>
    <w:rsid w:val="00112854"/>
    <w:rsid w:val="00113FD5"/>
    <w:rsid w:val="00115A94"/>
    <w:rsid w:val="0011699C"/>
    <w:rsid w:val="00116F12"/>
    <w:rsid w:val="001175AD"/>
    <w:rsid w:val="00121423"/>
    <w:rsid w:val="001229BE"/>
    <w:rsid w:val="00130DB4"/>
    <w:rsid w:val="00130E63"/>
    <w:rsid w:val="0013101D"/>
    <w:rsid w:val="001315B3"/>
    <w:rsid w:val="00131ED1"/>
    <w:rsid w:val="00135127"/>
    <w:rsid w:val="00141463"/>
    <w:rsid w:val="00142145"/>
    <w:rsid w:val="001463F9"/>
    <w:rsid w:val="0014651E"/>
    <w:rsid w:val="0014705E"/>
    <w:rsid w:val="00150C26"/>
    <w:rsid w:val="00152CEE"/>
    <w:rsid w:val="0015450C"/>
    <w:rsid w:val="0015474A"/>
    <w:rsid w:val="00155B1B"/>
    <w:rsid w:val="00157108"/>
    <w:rsid w:val="001600CE"/>
    <w:rsid w:val="00160415"/>
    <w:rsid w:val="00160FE8"/>
    <w:rsid w:val="00161B6B"/>
    <w:rsid w:val="00162408"/>
    <w:rsid w:val="0016433C"/>
    <w:rsid w:val="001655CF"/>
    <w:rsid w:val="0016638C"/>
    <w:rsid w:val="00173EF8"/>
    <w:rsid w:val="001770BC"/>
    <w:rsid w:val="00177E45"/>
    <w:rsid w:val="0018108D"/>
    <w:rsid w:val="00181427"/>
    <w:rsid w:val="00183F12"/>
    <w:rsid w:val="001842D8"/>
    <w:rsid w:val="001846C6"/>
    <w:rsid w:val="00184909"/>
    <w:rsid w:val="0018574F"/>
    <w:rsid w:val="001875BA"/>
    <w:rsid w:val="00192DA7"/>
    <w:rsid w:val="00197206"/>
    <w:rsid w:val="00197748"/>
    <w:rsid w:val="00197DF7"/>
    <w:rsid w:val="00197DFD"/>
    <w:rsid w:val="001A2307"/>
    <w:rsid w:val="001A4791"/>
    <w:rsid w:val="001A6ED7"/>
    <w:rsid w:val="001B0108"/>
    <w:rsid w:val="001B049A"/>
    <w:rsid w:val="001B204D"/>
    <w:rsid w:val="001B2B66"/>
    <w:rsid w:val="001B32D3"/>
    <w:rsid w:val="001B5C4E"/>
    <w:rsid w:val="001B5DD0"/>
    <w:rsid w:val="001B60F2"/>
    <w:rsid w:val="001B76BD"/>
    <w:rsid w:val="001C0A53"/>
    <w:rsid w:val="001C102C"/>
    <w:rsid w:val="001C1323"/>
    <w:rsid w:val="001C151C"/>
    <w:rsid w:val="001C3468"/>
    <w:rsid w:val="001C37BD"/>
    <w:rsid w:val="001C6863"/>
    <w:rsid w:val="001D1278"/>
    <w:rsid w:val="001D4A9F"/>
    <w:rsid w:val="001D4E85"/>
    <w:rsid w:val="001D5112"/>
    <w:rsid w:val="001D58AC"/>
    <w:rsid w:val="001D58B2"/>
    <w:rsid w:val="001D6A69"/>
    <w:rsid w:val="001D789E"/>
    <w:rsid w:val="001E075C"/>
    <w:rsid w:val="001E1516"/>
    <w:rsid w:val="001E3EFC"/>
    <w:rsid w:val="001E4241"/>
    <w:rsid w:val="001E443D"/>
    <w:rsid w:val="001E451A"/>
    <w:rsid w:val="001E72AD"/>
    <w:rsid w:val="001F0835"/>
    <w:rsid w:val="001F1D44"/>
    <w:rsid w:val="001F23EC"/>
    <w:rsid w:val="001F4662"/>
    <w:rsid w:val="001F5A95"/>
    <w:rsid w:val="001F76EF"/>
    <w:rsid w:val="001F7AC2"/>
    <w:rsid w:val="002007AF"/>
    <w:rsid w:val="00201320"/>
    <w:rsid w:val="002017BA"/>
    <w:rsid w:val="002032F6"/>
    <w:rsid w:val="002052EC"/>
    <w:rsid w:val="002056D5"/>
    <w:rsid w:val="00206A0C"/>
    <w:rsid w:val="00211B83"/>
    <w:rsid w:val="002120E9"/>
    <w:rsid w:val="002130E1"/>
    <w:rsid w:val="0021547E"/>
    <w:rsid w:val="002170B7"/>
    <w:rsid w:val="00220721"/>
    <w:rsid w:val="002211D7"/>
    <w:rsid w:val="00221E84"/>
    <w:rsid w:val="00224B03"/>
    <w:rsid w:val="00225964"/>
    <w:rsid w:val="002277EF"/>
    <w:rsid w:val="00227ACB"/>
    <w:rsid w:val="00227FDD"/>
    <w:rsid w:val="002303A3"/>
    <w:rsid w:val="00231641"/>
    <w:rsid w:val="00231E44"/>
    <w:rsid w:val="002343EB"/>
    <w:rsid w:val="002352B0"/>
    <w:rsid w:val="002366F2"/>
    <w:rsid w:val="0024151A"/>
    <w:rsid w:val="002446A0"/>
    <w:rsid w:val="00246249"/>
    <w:rsid w:val="00246CC3"/>
    <w:rsid w:val="002549EF"/>
    <w:rsid w:val="00255E98"/>
    <w:rsid w:val="00257011"/>
    <w:rsid w:val="0026113E"/>
    <w:rsid w:val="00261E36"/>
    <w:rsid w:val="00263254"/>
    <w:rsid w:val="00267358"/>
    <w:rsid w:val="00270630"/>
    <w:rsid w:val="00271778"/>
    <w:rsid w:val="00276C36"/>
    <w:rsid w:val="00281B56"/>
    <w:rsid w:val="002828FF"/>
    <w:rsid w:val="00282E03"/>
    <w:rsid w:val="002843D6"/>
    <w:rsid w:val="0028524C"/>
    <w:rsid w:val="00285860"/>
    <w:rsid w:val="0028675C"/>
    <w:rsid w:val="00286B61"/>
    <w:rsid w:val="002901EC"/>
    <w:rsid w:val="002904E9"/>
    <w:rsid w:val="00291633"/>
    <w:rsid w:val="00293F4E"/>
    <w:rsid w:val="00295063"/>
    <w:rsid w:val="002957C6"/>
    <w:rsid w:val="002960B8"/>
    <w:rsid w:val="00297CEF"/>
    <w:rsid w:val="002A1869"/>
    <w:rsid w:val="002A3FF9"/>
    <w:rsid w:val="002A5447"/>
    <w:rsid w:val="002A7039"/>
    <w:rsid w:val="002A79C1"/>
    <w:rsid w:val="002B0D90"/>
    <w:rsid w:val="002B2E13"/>
    <w:rsid w:val="002B48A1"/>
    <w:rsid w:val="002B628B"/>
    <w:rsid w:val="002B7C69"/>
    <w:rsid w:val="002C2CE1"/>
    <w:rsid w:val="002C457E"/>
    <w:rsid w:val="002C5FAE"/>
    <w:rsid w:val="002D0195"/>
    <w:rsid w:val="002D0704"/>
    <w:rsid w:val="002D33D8"/>
    <w:rsid w:val="002D4C12"/>
    <w:rsid w:val="002D5288"/>
    <w:rsid w:val="002D7B51"/>
    <w:rsid w:val="002E034C"/>
    <w:rsid w:val="002E0E29"/>
    <w:rsid w:val="002E265D"/>
    <w:rsid w:val="002E2F4C"/>
    <w:rsid w:val="002E56F0"/>
    <w:rsid w:val="002E5BB1"/>
    <w:rsid w:val="002E7A7E"/>
    <w:rsid w:val="002F4D9F"/>
    <w:rsid w:val="00300FF2"/>
    <w:rsid w:val="0030226E"/>
    <w:rsid w:val="00302FA8"/>
    <w:rsid w:val="00303A8B"/>
    <w:rsid w:val="00305185"/>
    <w:rsid w:val="0030557B"/>
    <w:rsid w:val="00305B74"/>
    <w:rsid w:val="003064D7"/>
    <w:rsid w:val="00306B1E"/>
    <w:rsid w:val="00306DC7"/>
    <w:rsid w:val="003077E3"/>
    <w:rsid w:val="00311CD3"/>
    <w:rsid w:val="00315728"/>
    <w:rsid w:val="003173F8"/>
    <w:rsid w:val="003177B0"/>
    <w:rsid w:val="00320675"/>
    <w:rsid w:val="00322D4B"/>
    <w:rsid w:val="003247CA"/>
    <w:rsid w:val="00325289"/>
    <w:rsid w:val="00327498"/>
    <w:rsid w:val="00327C50"/>
    <w:rsid w:val="003301A2"/>
    <w:rsid w:val="00331258"/>
    <w:rsid w:val="003328E1"/>
    <w:rsid w:val="00333BBF"/>
    <w:rsid w:val="0033490D"/>
    <w:rsid w:val="00334AB4"/>
    <w:rsid w:val="00336B29"/>
    <w:rsid w:val="00336D1E"/>
    <w:rsid w:val="00340D91"/>
    <w:rsid w:val="00341368"/>
    <w:rsid w:val="0034168A"/>
    <w:rsid w:val="00341C9B"/>
    <w:rsid w:val="003425A8"/>
    <w:rsid w:val="003425C1"/>
    <w:rsid w:val="00343969"/>
    <w:rsid w:val="00344419"/>
    <w:rsid w:val="003457A2"/>
    <w:rsid w:val="0034640A"/>
    <w:rsid w:val="00350B0E"/>
    <w:rsid w:val="00353826"/>
    <w:rsid w:val="0035454A"/>
    <w:rsid w:val="00354E9A"/>
    <w:rsid w:val="00357819"/>
    <w:rsid w:val="003600F7"/>
    <w:rsid w:val="0036165B"/>
    <w:rsid w:val="00361D5F"/>
    <w:rsid w:val="003646D4"/>
    <w:rsid w:val="0036684C"/>
    <w:rsid w:val="00367361"/>
    <w:rsid w:val="00372667"/>
    <w:rsid w:val="00372D5D"/>
    <w:rsid w:val="00373432"/>
    <w:rsid w:val="00375A02"/>
    <w:rsid w:val="0038004E"/>
    <w:rsid w:val="0038028D"/>
    <w:rsid w:val="00383C49"/>
    <w:rsid w:val="00390726"/>
    <w:rsid w:val="0039082F"/>
    <w:rsid w:val="00390E24"/>
    <w:rsid w:val="00393149"/>
    <w:rsid w:val="0039532A"/>
    <w:rsid w:val="00397185"/>
    <w:rsid w:val="00397383"/>
    <w:rsid w:val="003979E1"/>
    <w:rsid w:val="00397D42"/>
    <w:rsid w:val="003A1344"/>
    <w:rsid w:val="003A1A5F"/>
    <w:rsid w:val="003A1DC2"/>
    <w:rsid w:val="003A541D"/>
    <w:rsid w:val="003A56A7"/>
    <w:rsid w:val="003A61AB"/>
    <w:rsid w:val="003A61F0"/>
    <w:rsid w:val="003A64D8"/>
    <w:rsid w:val="003A67F8"/>
    <w:rsid w:val="003A788B"/>
    <w:rsid w:val="003B13C6"/>
    <w:rsid w:val="003B5B47"/>
    <w:rsid w:val="003C0E7E"/>
    <w:rsid w:val="003C5583"/>
    <w:rsid w:val="003C583E"/>
    <w:rsid w:val="003C5855"/>
    <w:rsid w:val="003D11BF"/>
    <w:rsid w:val="003D1901"/>
    <w:rsid w:val="003D1F8D"/>
    <w:rsid w:val="003D2089"/>
    <w:rsid w:val="003D2965"/>
    <w:rsid w:val="003D6CA8"/>
    <w:rsid w:val="003D7CB3"/>
    <w:rsid w:val="003E076A"/>
    <w:rsid w:val="003E0CC1"/>
    <w:rsid w:val="003E671E"/>
    <w:rsid w:val="003E7BBC"/>
    <w:rsid w:val="003F0406"/>
    <w:rsid w:val="003F0FB2"/>
    <w:rsid w:val="003F2D7E"/>
    <w:rsid w:val="003F3439"/>
    <w:rsid w:val="003F44D5"/>
    <w:rsid w:val="003F5743"/>
    <w:rsid w:val="003F5C1B"/>
    <w:rsid w:val="003F7387"/>
    <w:rsid w:val="00402256"/>
    <w:rsid w:val="004049D3"/>
    <w:rsid w:val="00406956"/>
    <w:rsid w:val="00407049"/>
    <w:rsid w:val="00407EF3"/>
    <w:rsid w:val="00407F63"/>
    <w:rsid w:val="004132E8"/>
    <w:rsid w:val="00413A70"/>
    <w:rsid w:val="00414691"/>
    <w:rsid w:val="00417D7F"/>
    <w:rsid w:val="004202CC"/>
    <w:rsid w:val="00423730"/>
    <w:rsid w:val="004248F2"/>
    <w:rsid w:val="0042527F"/>
    <w:rsid w:val="00426833"/>
    <w:rsid w:val="00431E0D"/>
    <w:rsid w:val="00432517"/>
    <w:rsid w:val="00432C9E"/>
    <w:rsid w:val="00433EA8"/>
    <w:rsid w:val="00437921"/>
    <w:rsid w:val="00437BF8"/>
    <w:rsid w:val="00440EAE"/>
    <w:rsid w:val="004419D7"/>
    <w:rsid w:val="004427CB"/>
    <w:rsid w:val="00446C13"/>
    <w:rsid w:val="00446D42"/>
    <w:rsid w:val="0044782F"/>
    <w:rsid w:val="0045149C"/>
    <w:rsid w:val="004519E8"/>
    <w:rsid w:val="00453105"/>
    <w:rsid w:val="0045322A"/>
    <w:rsid w:val="004541B7"/>
    <w:rsid w:val="00454584"/>
    <w:rsid w:val="00454C97"/>
    <w:rsid w:val="004555F6"/>
    <w:rsid w:val="0045600B"/>
    <w:rsid w:val="00456470"/>
    <w:rsid w:val="004566CE"/>
    <w:rsid w:val="00457007"/>
    <w:rsid w:val="00457221"/>
    <w:rsid w:val="00461AB7"/>
    <w:rsid w:val="004620CC"/>
    <w:rsid w:val="00462C14"/>
    <w:rsid w:val="00462F6A"/>
    <w:rsid w:val="00465098"/>
    <w:rsid w:val="00465582"/>
    <w:rsid w:val="004664A2"/>
    <w:rsid w:val="00466C43"/>
    <w:rsid w:val="0046760F"/>
    <w:rsid w:val="00467B86"/>
    <w:rsid w:val="004709E6"/>
    <w:rsid w:val="004715AD"/>
    <w:rsid w:val="00472B80"/>
    <w:rsid w:val="00473D36"/>
    <w:rsid w:val="00475D5B"/>
    <w:rsid w:val="0047602C"/>
    <w:rsid w:val="00476CAD"/>
    <w:rsid w:val="00477924"/>
    <w:rsid w:val="00477D3B"/>
    <w:rsid w:val="00480C7F"/>
    <w:rsid w:val="00481329"/>
    <w:rsid w:val="004823C3"/>
    <w:rsid w:val="0048365E"/>
    <w:rsid w:val="0048367E"/>
    <w:rsid w:val="00485F08"/>
    <w:rsid w:val="004860F2"/>
    <w:rsid w:val="00486E4D"/>
    <w:rsid w:val="00490FC4"/>
    <w:rsid w:val="0049193E"/>
    <w:rsid w:val="00491CF8"/>
    <w:rsid w:val="004922BC"/>
    <w:rsid w:val="004922DC"/>
    <w:rsid w:val="004929DD"/>
    <w:rsid w:val="00493AFF"/>
    <w:rsid w:val="00493ECF"/>
    <w:rsid w:val="004959D2"/>
    <w:rsid w:val="004A0B28"/>
    <w:rsid w:val="004A1FBE"/>
    <w:rsid w:val="004A2B07"/>
    <w:rsid w:val="004A3459"/>
    <w:rsid w:val="004A3934"/>
    <w:rsid w:val="004A7357"/>
    <w:rsid w:val="004A7B13"/>
    <w:rsid w:val="004B02D1"/>
    <w:rsid w:val="004B1589"/>
    <w:rsid w:val="004B1DD7"/>
    <w:rsid w:val="004B2DE8"/>
    <w:rsid w:val="004B504A"/>
    <w:rsid w:val="004B7E81"/>
    <w:rsid w:val="004C0C0E"/>
    <w:rsid w:val="004C21ED"/>
    <w:rsid w:val="004C2C15"/>
    <w:rsid w:val="004C6990"/>
    <w:rsid w:val="004D05E0"/>
    <w:rsid w:val="004D06EA"/>
    <w:rsid w:val="004D435D"/>
    <w:rsid w:val="004D6616"/>
    <w:rsid w:val="004D7607"/>
    <w:rsid w:val="004E2081"/>
    <w:rsid w:val="004E33C0"/>
    <w:rsid w:val="004E3C50"/>
    <w:rsid w:val="004E507F"/>
    <w:rsid w:val="004E51F3"/>
    <w:rsid w:val="004E618D"/>
    <w:rsid w:val="004E6DA7"/>
    <w:rsid w:val="004E762A"/>
    <w:rsid w:val="004E770E"/>
    <w:rsid w:val="004E7F63"/>
    <w:rsid w:val="004F0339"/>
    <w:rsid w:val="004F5134"/>
    <w:rsid w:val="0050014F"/>
    <w:rsid w:val="00500313"/>
    <w:rsid w:val="0050057F"/>
    <w:rsid w:val="00500E95"/>
    <w:rsid w:val="005010D0"/>
    <w:rsid w:val="005024DB"/>
    <w:rsid w:val="00504464"/>
    <w:rsid w:val="00505ED2"/>
    <w:rsid w:val="00507617"/>
    <w:rsid w:val="005079CD"/>
    <w:rsid w:val="00511724"/>
    <w:rsid w:val="00511BB7"/>
    <w:rsid w:val="0051407B"/>
    <w:rsid w:val="005141D2"/>
    <w:rsid w:val="005151C0"/>
    <w:rsid w:val="00515852"/>
    <w:rsid w:val="00516D55"/>
    <w:rsid w:val="00520048"/>
    <w:rsid w:val="005202E5"/>
    <w:rsid w:val="00522493"/>
    <w:rsid w:val="00522C96"/>
    <w:rsid w:val="005235BB"/>
    <w:rsid w:val="0052389A"/>
    <w:rsid w:val="00524B76"/>
    <w:rsid w:val="00526897"/>
    <w:rsid w:val="00527FB1"/>
    <w:rsid w:val="0053042B"/>
    <w:rsid w:val="00532EAE"/>
    <w:rsid w:val="0053452F"/>
    <w:rsid w:val="00535B35"/>
    <w:rsid w:val="00537CB9"/>
    <w:rsid w:val="0054048C"/>
    <w:rsid w:val="0054072B"/>
    <w:rsid w:val="00542806"/>
    <w:rsid w:val="00543CAE"/>
    <w:rsid w:val="005449BB"/>
    <w:rsid w:val="00546C96"/>
    <w:rsid w:val="00550F3B"/>
    <w:rsid w:val="00552B28"/>
    <w:rsid w:val="0055329D"/>
    <w:rsid w:val="005567FB"/>
    <w:rsid w:val="0056023D"/>
    <w:rsid w:val="00561DBE"/>
    <w:rsid w:val="00562197"/>
    <w:rsid w:val="005638B7"/>
    <w:rsid w:val="0056470F"/>
    <w:rsid w:val="0056532D"/>
    <w:rsid w:val="00565748"/>
    <w:rsid w:val="00566597"/>
    <w:rsid w:val="00571209"/>
    <w:rsid w:val="00571997"/>
    <w:rsid w:val="0057413D"/>
    <w:rsid w:val="00575A7B"/>
    <w:rsid w:val="0057628E"/>
    <w:rsid w:val="0057641D"/>
    <w:rsid w:val="0058035D"/>
    <w:rsid w:val="00580982"/>
    <w:rsid w:val="00582E6B"/>
    <w:rsid w:val="005832AB"/>
    <w:rsid w:val="00585DF6"/>
    <w:rsid w:val="0058682C"/>
    <w:rsid w:val="00587AB2"/>
    <w:rsid w:val="005906BA"/>
    <w:rsid w:val="0059289C"/>
    <w:rsid w:val="00595552"/>
    <w:rsid w:val="0059633D"/>
    <w:rsid w:val="00596DBB"/>
    <w:rsid w:val="00596E92"/>
    <w:rsid w:val="00597C52"/>
    <w:rsid w:val="005A0434"/>
    <w:rsid w:val="005A0FC2"/>
    <w:rsid w:val="005A19A3"/>
    <w:rsid w:val="005A3495"/>
    <w:rsid w:val="005A403C"/>
    <w:rsid w:val="005A4A21"/>
    <w:rsid w:val="005A6AF9"/>
    <w:rsid w:val="005B1293"/>
    <w:rsid w:val="005B2EDE"/>
    <w:rsid w:val="005B4335"/>
    <w:rsid w:val="005C0C6C"/>
    <w:rsid w:val="005C426E"/>
    <w:rsid w:val="005C4EC3"/>
    <w:rsid w:val="005C5837"/>
    <w:rsid w:val="005C5D05"/>
    <w:rsid w:val="005C7561"/>
    <w:rsid w:val="005D058D"/>
    <w:rsid w:val="005D1330"/>
    <w:rsid w:val="005D17E7"/>
    <w:rsid w:val="005D2999"/>
    <w:rsid w:val="005D691A"/>
    <w:rsid w:val="005E0221"/>
    <w:rsid w:val="005E046B"/>
    <w:rsid w:val="005E3B9E"/>
    <w:rsid w:val="005E4984"/>
    <w:rsid w:val="005E5F57"/>
    <w:rsid w:val="005E7D47"/>
    <w:rsid w:val="005F0BF1"/>
    <w:rsid w:val="005F25B1"/>
    <w:rsid w:val="005F25E1"/>
    <w:rsid w:val="005F2681"/>
    <w:rsid w:val="005F3248"/>
    <w:rsid w:val="005F4F41"/>
    <w:rsid w:val="005F6776"/>
    <w:rsid w:val="005F728B"/>
    <w:rsid w:val="00600129"/>
    <w:rsid w:val="00601126"/>
    <w:rsid w:val="00603C67"/>
    <w:rsid w:val="006073D8"/>
    <w:rsid w:val="00607AC4"/>
    <w:rsid w:val="0061121D"/>
    <w:rsid w:val="00611637"/>
    <w:rsid w:val="00611E83"/>
    <w:rsid w:val="0061332D"/>
    <w:rsid w:val="00614CC0"/>
    <w:rsid w:val="006206A1"/>
    <w:rsid w:val="00624ECE"/>
    <w:rsid w:val="006250E1"/>
    <w:rsid w:val="006265CE"/>
    <w:rsid w:val="0063165D"/>
    <w:rsid w:val="006319DC"/>
    <w:rsid w:val="00632A9E"/>
    <w:rsid w:val="0063549F"/>
    <w:rsid w:val="006400B1"/>
    <w:rsid w:val="00640367"/>
    <w:rsid w:val="00641418"/>
    <w:rsid w:val="0064216B"/>
    <w:rsid w:val="00642899"/>
    <w:rsid w:val="006434BD"/>
    <w:rsid w:val="00643905"/>
    <w:rsid w:val="00646746"/>
    <w:rsid w:val="006468FB"/>
    <w:rsid w:val="00647505"/>
    <w:rsid w:val="00650412"/>
    <w:rsid w:val="00650B6C"/>
    <w:rsid w:val="00651E34"/>
    <w:rsid w:val="00652BC7"/>
    <w:rsid w:val="0065400F"/>
    <w:rsid w:val="00655CA1"/>
    <w:rsid w:val="00656BE5"/>
    <w:rsid w:val="00656FD2"/>
    <w:rsid w:val="00657AFC"/>
    <w:rsid w:val="00657FCE"/>
    <w:rsid w:val="006611EC"/>
    <w:rsid w:val="006617E7"/>
    <w:rsid w:val="00664365"/>
    <w:rsid w:val="00665CAC"/>
    <w:rsid w:val="00665E5C"/>
    <w:rsid w:val="00667275"/>
    <w:rsid w:val="006672FA"/>
    <w:rsid w:val="00667C6D"/>
    <w:rsid w:val="00667EF0"/>
    <w:rsid w:val="00671600"/>
    <w:rsid w:val="00672BF6"/>
    <w:rsid w:val="00672CAB"/>
    <w:rsid w:val="006730B9"/>
    <w:rsid w:val="00673637"/>
    <w:rsid w:val="00673A5E"/>
    <w:rsid w:val="00673DE6"/>
    <w:rsid w:val="0067570B"/>
    <w:rsid w:val="006761F9"/>
    <w:rsid w:val="00676630"/>
    <w:rsid w:val="006767CD"/>
    <w:rsid w:val="00676931"/>
    <w:rsid w:val="00680EBC"/>
    <w:rsid w:val="00683FA3"/>
    <w:rsid w:val="00685A38"/>
    <w:rsid w:val="00686056"/>
    <w:rsid w:val="00686071"/>
    <w:rsid w:val="0068695E"/>
    <w:rsid w:val="00690E9A"/>
    <w:rsid w:val="00691A67"/>
    <w:rsid w:val="00694B1A"/>
    <w:rsid w:val="006968AB"/>
    <w:rsid w:val="00697A6E"/>
    <w:rsid w:val="006A065C"/>
    <w:rsid w:val="006A0C31"/>
    <w:rsid w:val="006A0E8D"/>
    <w:rsid w:val="006A2DE7"/>
    <w:rsid w:val="006A4B40"/>
    <w:rsid w:val="006A5A23"/>
    <w:rsid w:val="006A7078"/>
    <w:rsid w:val="006A7C79"/>
    <w:rsid w:val="006A7E9A"/>
    <w:rsid w:val="006B1FFC"/>
    <w:rsid w:val="006B4043"/>
    <w:rsid w:val="006B5337"/>
    <w:rsid w:val="006B7AC1"/>
    <w:rsid w:val="006C03EF"/>
    <w:rsid w:val="006C08B9"/>
    <w:rsid w:val="006C627A"/>
    <w:rsid w:val="006C754B"/>
    <w:rsid w:val="006D21C9"/>
    <w:rsid w:val="006D2C84"/>
    <w:rsid w:val="006D3E7B"/>
    <w:rsid w:val="006D3EE8"/>
    <w:rsid w:val="006D45B7"/>
    <w:rsid w:val="006D5048"/>
    <w:rsid w:val="006D51F9"/>
    <w:rsid w:val="006D75A6"/>
    <w:rsid w:val="006D75B3"/>
    <w:rsid w:val="006D7940"/>
    <w:rsid w:val="006E1AEF"/>
    <w:rsid w:val="006E2AFB"/>
    <w:rsid w:val="006E3362"/>
    <w:rsid w:val="006E3CAA"/>
    <w:rsid w:val="006E5719"/>
    <w:rsid w:val="006E630A"/>
    <w:rsid w:val="006E72BB"/>
    <w:rsid w:val="006F0D5C"/>
    <w:rsid w:val="006F1321"/>
    <w:rsid w:val="006F2119"/>
    <w:rsid w:val="006F21EF"/>
    <w:rsid w:val="006F233E"/>
    <w:rsid w:val="006F3526"/>
    <w:rsid w:val="006F4A87"/>
    <w:rsid w:val="00701183"/>
    <w:rsid w:val="007012A6"/>
    <w:rsid w:val="007015CE"/>
    <w:rsid w:val="00703DF8"/>
    <w:rsid w:val="0070414C"/>
    <w:rsid w:val="00705257"/>
    <w:rsid w:val="00706354"/>
    <w:rsid w:val="00706362"/>
    <w:rsid w:val="00707D27"/>
    <w:rsid w:val="00713963"/>
    <w:rsid w:val="00713B82"/>
    <w:rsid w:val="00714D55"/>
    <w:rsid w:val="00714FF5"/>
    <w:rsid w:val="007175F7"/>
    <w:rsid w:val="00720C0C"/>
    <w:rsid w:val="00723D07"/>
    <w:rsid w:val="00724704"/>
    <w:rsid w:val="007249A9"/>
    <w:rsid w:val="00724B1F"/>
    <w:rsid w:val="007279C4"/>
    <w:rsid w:val="00732908"/>
    <w:rsid w:val="007332C1"/>
    <w:rsid w:val="007349D2"/>
    <w:rsid w:val="00734F7D"/>
    <w:rsid w:val="007402D5"/>
    <w:rsid w:val="007450CC"/>
    <w:rsid w:val="00751411"/>
    <w:rsid w:val="00751605"/>
    <w:rsid w:val="007560D2"/>
    <w:rsid w:val="007569BE"/>
    <w:rsid w:val="00756C42"/>
    <w:rsid w:val="00757DED"/>
    <w:rsid w:val="007613D3"/>
    <w:rsid w:val="0076209A"/>
    <w:rsid w:val="007635B2"/>
    <w:rsid w:val="00764239"/>
    <w:rsid w:val="00765891"/>
    <w:rsid w:val="00765F0C"/>
    <w:rsid w:val="00767918"/>
    <w:rsid w:val="007715B4"/>
    <w:rsid w:val="00771BFC"/>
    <w:rsid w:val="00771F56"/>
    <w:rsid w:val="00773BE7"/>
    <w:rsid w:val="00773E30"/>
    <w:rsid w:val="00774CA4"/>
    <w:rsid w:val="00774EF6"/>
    <w:rsid w:val="0078069A"/>
    <w:rsid w:val="00781947"/>
    <w:rsid w:val="00782450"/>
    <w:rsid w:val="00782E56"/>
    <w:rsid w:val="00784465"/>
    <w:rsid w:val="00787D2D"/>
    <w:rsid w:val="007906B4"/>
    <w:rsid w:val="00790B88"/>
    <w:rsid w:val="00790BA4"/>
    <w:rsid w:val="00792514"/>
    <w:rsid w:val="00792B14"/>
    <w:rsid w:val="00792C39"/>
    <w:rsid w:val="007932BD"/>
    <w:rsid w:val="007936DA"/>
    <w:rsid w:val="00793E2A"/>
    <w:rsid w:val="00794401"/>
    <w:rsid w:val="00795DFD"/>
    <w:rsid w:val="0079708F"/>
    <w:rsid w:val="00797571"/>
    <w:rsid w:val="007977ED"/>
    <w:rsid w:val="007A1203"/>
    <w:rsid w:val="007A161E"/>
    <w:rsid w:val="007A2A90"/>
    <w:rsid w:val="007A43F4"/>
    <w:rsid w:val="007A65B6"/>
    <w:rsid w:val="007A6D4A"/>
    <w:rsid w:val="007A7A7F"/>
    <w:rsid w:val="007B2242"/>
    <w:rsid w:val="007B2734"/>
    <w:rsid w:val="007B2B8C"/>
    <w:rsid w:val="007B41E0"/>
    <w:rsid w:val="007C0942"/>
    <w:rsid w:val="007C2085"/>
    <w:rsid w:val="007C2AD7"/>
    <w:rsid w:val="007C4CB1"/>
    <w:rsid w:val="007C510C"/>
    <w:rsid w:val="007C5503"/>
    <w:rsid w:val="007C5A3E"/>
    <w:rsid w:val="007C637B"/>
    <w:rsid w:val="007C654E"/>
    <w:rsid w:val="007C6BC6"/>
    <w:rsid w:val="007C6C07"/>
    <w:rsid w:val="007C7C93"/>
    <w:rsid w:val="007D1771"/>
    <w:rsid w:val="007D44B7"/>
    <w:rsid w:val="007D47B6"/>
    <w:rsid w:val="007D7239"/>
    <w:rsid w:val="007E0C55"/>
    <w:rsid w:val="007E10F6"/>
    <w:rsid w:val="007E2B0F"/>
    <w:rsid w:val="007E374B"/>
    <w:rsid w:val="007E424E"/>
    <w:rsid w:val="007E5451"/>
    <w:rsid w:val="007E6B95"/>
    <w:rsid w:val="007E7DA0"/>
    <w:rsid w:val="007F125A"/>
    <w:rsid w:val="007F182C"/>
    <w:rsid w:val="007F1D2D"/>
    <w:rsid w:val="007F25AF"/>
    <w:rsid w:val="007F427F"/>
    <w:rsid w:val="007F5871"/>
    <w:rsid w:val="007F6025"/>
    <w:rsid w:val="007F6FC8"/>
    <w:rsid w:val="007F7209"/>
    <w:rsid w:val="00806157"/>
    <w:rsid w:val="008061F4"/>
    <w:rsid w:val="00810C28"/>
    <w:rsid w:val="0081124A"/>
    <w:rsid w:val="00811B48"/>
    <w:rsid w:val="0081280B"/>
    <w:rsid w:val="00814B56"/>
    <w:rsid w:val="00814FDE"/>
    <w:rsid w:val="008163CE"/>
    <w:rsid w:val="00820114"/>
    <w:rsid w:val="00820246"/>
    <w:rsid w:val="00823D32"/>
    <w:rsid w:val="00824451"/>
    <w:rsid w:val="00824A4D"/>
    <w:rsid w:val="00831CA0"/>
    <w:rsid w:val="0083247D"/>
    <w:rsid w:val="00832A57"/>
    <w:rsid w:val="00832AAB"/>
    <w:rsid w:val="0083428B"/>
    <w:rsid w:val="00834A60"/>
    <w:rsid w:val="008352BD"/>
    <w:rsid w:val="008361CD"/>
    <w:rsid w:val="008376E2"/>
    <w:rsid w:val="00837CF0"/>
    <w:rsid w:val="00840DFD"/>
    <w:rsid w:val="00841056"/>
    <w:rsid w:val="00841E76"/>
    <w:rsid w:val="0084414A"/>
    <w:rsid w:val="00844E41"/>
    <w:rsid w:val="00845F12"/>
    <w:rsid w:val="008478E8"/>
    <w:rsid w:val="00847EC4"/>
    <w:rsid w:val="0085046D"/>
    <w:rsid w:val="00852CB7"/>
    <w:rsid w:val="0085318E"/>
    <w:rsid w:val="0085497B"/>
    <w:rsid w:val="008564D2"/>
    <w:rsid w:val="00857322"/>
    <w:rsid w:val="00857E48"/>
    <w:rsid w:val="0086167E"/>
    <w:rsid w:val="00862497"/>
    <w:rsid w:val="008639F2"/>
    <w:rsid w:val="0086450B"/>
    <w:rsid w:val="00864769"/>
    <w:rsid w:val="008648F7"/>
    <w:rsid w:val="00866BCC"/>
    <w:rsid w:val="00866C4E"/>
    <w:rsid w:val="00867C30"/>
    <w:rsid w:val="00870074"/>
    <w:rsid w:val="008714B6"/>
    <w:rsid w:val="00874FB7"/>
    <w:rsid w:val="00876A9D"/>
    <w:rsid w:val="008770ED"/>
    <w:rsid w:val="00877EE7"/>
    <w:rsid w:val="00881D30"/>
    <w:rsid w:val="0088337D"/>
    <w:rsid w:val="008854FF"/>
    <w:rsid w:val="00887DAC"/>
    <w:rsid w:val="00891AF1"/>
    <w:rsid w:val="00891E0C"/>
    <w:rsid w:val="008926E9"/>
    <w:rsid w:val="00893309"/>
    <w:rsid w:val="0089362D"/>
    <w:rsid w:val="00894A2F"/>
    <w:rsid w:val="00894AE9"/>
    <w:rsid w:val="008972B6"/>
    <w:rsid w:val="00897C95"/>
    <w:rsid w:val="008A0151"/>
    <w:rsid w:val="008A034F"/>
    <w:rsid w:val="008A3475"/>
    <w:rsid w:val="008A3FED"/>
    <w:rsid w:val="008A4D2B"/>
    <w:rsid w:val="008A535A"/>
    <w:rsid w:val="008A6122"/>
    <w:rsid w:val="008A7376"/>
    <w:rsid w:val="008A7966"/>
    <w:rsid w:val="008B2657"/>
    <w:rsid w:val="008B3683"/>
    <w:rsid w:val="008B3888"/>
    <w:rsid w:val="008B779B"/>
    <w:rsid w:val="008B7ADD"/>
    <w:rsid w:val="008C285C"/>
    <w:rsid w:val="008C4650"/>
    <w:rsid w:val="008C4FF7"/>
    <w:rsid w:val="008C7295"/>
    <w:rsid w:val="008C7542"/>
    <w:rsid w:val="008C76E5"/>
    <w:rsid w:val="008D1335"/>
    <w:rsid w:val="008D39DC"/>
    <w:rsid w:val="008D3D09"/>
    <w:rsid w:val="008D6DCC"/>
    <w:rsid w:val="008E3173"/>
    <w:rsid w:val="008E3397"/>
    <w:rsid w:val="008E4CA4"/>
    <w:rsid w:val="008E5244"/>
    <w:rsid w:val="008E5C2C"/>
    <w:rsid w:val="008E7337"/>
    <w:rsid w:val="008E738E"/>
    <w:rsid w:val="008F05AA"/>
    <w:rsid w:val="008F095D"/>
    <w:rsid w:val="008F2177"/>
    <w:rsid w:val="008F3401"/>
    <w:rsid w:val="008F5C2D"/>
    <w:rsid w:val="008F637B"/>
    <w:rsid w:val="008F6C91"/>
    <w:rsid w:val="008F74AC"/>
    <w:rsid w:val="008F7874"/>
    <w:rsid w:val="00900647"/>
    <w:rsid w:val="009039BC"/>
    <w:rsid w:val="00904A8B"/>
    <w:rsid w:val="00905987"/>
    <w:rsid w:val="009079FB"/>
    <w:rsid w:val="00907E74"/>
    <w:rsid w:val="009146E9"/>
    <w:rsid w:val="00921C62"/>
    <w:rsid w:val="00922A35"/>
    <w:rsid w:val="00925AD9"/>
    <w:rsid w:val="00926F1A"/>
    <w:rsid w:val="00931DC6"/>
    <w:rsid w:val="00933F60"/>
    <w:rsid w:val="00934F7E"/>
    <w:rsid w:val="0093576A"/>
    <w:rsid w:val="00936275"/>
    <w:rsid w:val="00936734"/>
    <w:rsid w:val="00940558"/>
    <w:rsid w:val="00942A27"/>
    <w:rsid w:val="009461CE"/>
    <w:rsid w:val="00946F2D"/>
    <w:rsid w:val="00950B93"/>
    <w:rsid w:val="00950E25"/>
    <w:rsid w:val="0095192D"/>
    <w:rsid w:val="00952994"/>
    <w:rsid w:val="009541E1"/>
    <w:rsid w:val="0095527C"/>
    <w:rsid w:val="00956DE1"/>
    <w:rsid w:val="0095778A"/>
    <w:rsid w:val="00960761"/>
    <w:rsid w:val="009629EB"/>
    <w:rsid w:val="00963ACD"/>
    <w:rsid w:val="009650A6"/>
    <w:rsid w:val="00965839"/>
    <w:rsid w:val="00965E6C"/>
    <w:rsid w:val="00966F9A"/>
    <w:rsid w:val="009703F6"/>
    <w:rsid w:val="0097095A"/>
    <w:rsid w:val="00977C26"/>
    <w:rsid w:val="00980522"/>
    <w:rsid w:val="009827F9"/>
    <w:rsid w:val="0098411A"/>
    <w:rsid w:val="00984174"/>
    <w:rsid w:val="009848CD"/>
    <w:rsid w:val="0098779B"/>
    <w:rsid w:val="00990B24"/>
    <w:rsid w:val="00990DB4"/>
    <w:rsid w:val="00991F84"/>
    <w:rsid w:val="00992557"/>
    <w:rsid w:val="009929CD"/>
    <w:rsid w:val="00993359"/>
    <w:rsid w:val="00993F7F"/>
    <w:rsid w:val="0099435D"/>
    <w:rsid w:val="009974E3"/>
    <w:rsid w:val="009977F9"/>
    <w:rsid w:val="009A0399"/>
    <w:rsid w:val="009A208A"/>
    <w:rsid w:val="009A2A87"/>
    <w:rsid w:val="009A63AA"/>
    <w:rsid w:val="009A7313"/>
    <w:rsid w:val="009A73AC"/>
    <w:rsid w:val="009B015F"/>
    <w:rsid w:val="009B0585"/>
    <w:rsid w:val="009B2897"/>
    <w:rsid w:val="009B2F29"/>
    <w:rsid w:val="009B4C82"/>
    <w:rsid w:val="009B7336"/>
    <w:rsid w:val="009C2C20"/>
    <w:rsid w:val="009C31FD"/>
    <w:rsid w:val="009C35CF"/>
    <w:rsid w:val="009C3BF2"/>
    <w:rsid w:val="009C4B85"/>
    <w:rsid w:val="009C684C"/>
    <w:rsid w:val="009C6E58"/>
    <w:rsid w:val="009D4048"/>
    <w:rsid w:val="009D4E8B"/>
    <w:rsid w:val="009D769C"/>
    <w:rsid w:val="009D7B48"/>
    <w:rsid w:val="009E1C75"/>
    <w:rsid w:val="009E39AE"/>
    <w:rsid w:val="009E3ABB"/>
    <w:rsid w:val="009E3F26"/>
    <w:rsid w:val="009E5912"/>
    <w:rsid w:val="009E74BA"/>
    <w:rsid w:val="009F031E"/>
    <w:rsid w:val="009F1B03"/>
    <w:rsid w:val="009F1B8D"/>
    <w:rsid w:val="009F3139"/>
    <w:rsid w:val="009F7C15"/>
    <w:rsid w:val="00A003D2"/>
    <w:rsid w:val="00A008E4"/>
    <w:rsid w:val="00A01043"/>
    <w:rsid w:val="00A010ED"/>
    <w:rsid w:val="00A01578"/>
    <w:rsid w:val="00A01590"/>
    <w:rsid w:val="00A02D78"/>
    <w:rsid w:val="00A07559"/>
    <w:rsid w:val="00A10A6C"/>
    <w:rsid w:val="00A12D81"/>
    <w:rsid w:val="00A1308D"/>
    <w:rsid w:val="00A13385"/>
    <w:rsid w:val="00A16072"/>
    <w:rsid w:val="00A166A2"/>
    <w:rsid w:val="00A17D46"/>
    <w:rsid w:val="00A223F5"/>
    <w:rsid w:val="00A22A9A"/>
    <w:rsid w:val="00A2322F"/>
    <w:rsid w:val="00A243E8"/>
    <w:rsid w:val="00A246F3"/>
    <w:rsid w:val="00A25D8F"/>
    <w:rsid w:val="00A261AF"/>
    <w:rsid w:val="00A303D2"/>
    <w:rsid w:val="00A317AF"/>
    <w:rsid w:val="00A3193A"/>
    <w:rsid w:val="00A334F0"/>
    <w:rsid w:val="00A3421A"/>
    <w:rsid w:val="00A35DDA"/>
    <w:rsid w:val="00A35EBF"/>
    <w:rsid w:val="00A374D2"/>
    <w:rsid w:val="00A4092A"/>
    <w:rsid w:val="00A43DDE"/>
    <w:rsid w:val="00A43FF4"/>
    <w:rsid w:val="00A4427A"/>
    <w:rsid w:val="00A44B12"/>
    <w:rsid w:val="00A451F0"/>
    <w:rsid w:val="00A4610C"/>
    <w:rsid w:val="00A51798"/>
    <w:rsid w:val="00A5381E"/>
    <w:rsid w:val="00A54D29"/>
    <w:rsid w:val="00A5761B"/>
    <w:rsid w:val="00A5788A"/>
    <w:rsid w:val="00A6176C"/>
    <w:rsid w:val="00A62D07"/>
    <w:rsid w:val="00A6333C"/>
    <w:rsid w:val="00A641FA"/>
    <w:rsid w:val="00A64763"/>
    <w:rsid w:val="00A65AC3"/>
    <w:rsid w:val="00A66E65"/>
    <w:rsid w:val="00A67796"/>
    <w:rsid w:val="00A71F31"/>
    <w:rsid w:val="00A727D9"/>
    <w:rsid w:val="00A72DBB"/>
    <w:rsid w:val="00A74F16"/>
    <w:rsid w:val="00A76561"/>
    <w:rsid w:val="00A77E30"/>
    <w:rsid w:val="00A77ECF"/>
    <w:rsid w:val="00A80302"/>
    <w:rsid w:val="00A83686"/>
    <w:rsid w:val="00A84BC7"/>
    <w:rsid w:val="00A901A7"/>
    <w:rsid w:val="00A90210"/>
    <w:rsid w:val="00A91EDA"/>
    <w:rsid w:val="00A9218E"/>
    <w:rsid w:val="00A935FC"/>
    <w:rsid w:val="00A94A25"/>
    <w:rsid w:val="00A9502E"/>
    <w:rsid w:val="00A95DD6"/>
    <w:rsid w:val="00A96889"/>
    <w:rsid w:val="00A9721F"/>
    <w:rsid w:val="00AA0337"/>
    <w:rsid w:val="00AA18AA"/>
    <w:rsid w:val="00AA2624"/>
    <w:rsid w:val="00AA4107"/>
    <w:rsid w:val="00AA4AFD"/>
    <w:rsid w:val="00AA6A19"/>
    <w:rsid w:val="00AB12CC"/>
    <w:rsid w:val="00AB1438"/>
    <w:rsid w:val="00AB2948"/>
    <w:rsid w:val="00AB42C1"/>
    <w:rsid w:val="00AB4A0D"/>
    <w:rsid w:val="00AC01CB"/>
    <w:rsid w:val="00AC064B"/>
    <w:rsid w:val="00AC09B5"/>
    <w:rsid w:val="00AC1723"/>
    <w:rsid w:val="00AC1D56"/>
    <w:rsid w:val="00AC243E"/>
    <w:rsid w:val="00AC3A0C"/>
    <w:rsid w:val="00AC473C"/>
    <w:rsid w:val="00AC4B0B"/>
    <w:rsid w:val="00AC5677"/>
    <w:rsid w:val="00AC5B5D"/>
    <w:rsid w:val="00AC6DFB"/>
    <w:rsid w:val="00AC73B0"/>
    <w:rsid w:val="00AC7C22"/>
    <w:rsid w:val="00AD126F"/>
    <w:rsid w:val="00AD1922"/>
    <w:rsid w:val="00AD2598"/>
    <w:rsid w:val="00AD400B"/>
    <w:rsid w:val="00AD55AA"/>
    <w:rsid w:val="00AD62B1"/>
    <w:rsid w:val="00AD6E31"/>
    <w:rsid w:val="00AD7245"/>
    <w:rsid w:val="00AE2DF4"/>
    <w:rsid w:val="00AE3A7F"/>
    <w:rsid w:val="00AE4878"/>
    <w:rsid w:val="00AE6386"/>
    <w:rsid w:val="00AE67FC"/>
    <w:rsid w:val="00AE6BEE"/>
    <w:rsid w:val="00AE7885"/>
    <w:rsid w:val="00AF189A"/>
    <w:rsid w:val="00AF22B1"/>
    <w:rsid w:val="00AF3B9F"/>
    <w:rsid w:val="00AF5A56"/>
    <w:rsid w:val="00AF7B1C"/>
    <w:rsid w:val="00B027FB"/>
    <w:rsid w:val="00B0590A"/>
    <w:rsid w:val="00B067E6"/>
    <w:rsid w:val="00B11173"/>
    <w:rsid w:val="00B1242C"/>
    <w:rsid w:val="00B149CA"/>
    <w:rsid w:val="00B158A3"/>
    <w:rsid w:val="00B200A4"/>
    <w:rsid w:val="00B201D8"/>
    <w:rsid w:val="00B251A8"/>
    <w:rsid w:val="00B252BE"/>
    <w:rsid w:val="00B25512"/>
    <w:rsid w:val="00B25646"/>
    <w:rsid w:val="00B26638"/>
    <w:rsid w:val="00B26A34"/>
    <w:rsid w:val="00B2790F"/>
    <w:rsid w:val="00B27E91"/>
    <w:rsid w:val="00B27F54"/>
    <w:rsid w:val="00B30913"/>
    <w:rsid w:val="00B30C28"/>
    <w:rsid w:val="00B31ACD"/>
    <w:rsid w:val="00B3233F"/>
    <w:rsid w:val="00B34DA2"/>
    <w:rsid w:val="00B3729D"/>
    <w:rsid w:val="00B37E0B"/>
    <w:rsid w:val="00B37EB7"/>
    <w:rsid w:val="00B435BA"/>
    <w:rsid w:val="00B45C4A"/>
    <w:rsid w:val="00B51370"/>
    <w:rsid w:val="00B52A16"/>
    <w:rsid w:val="00B57AE2"/>
    <w:rsid w:val="00B57F38"/>
    <w:rsid w:val="00B60A1E"/>
    <w:rsid w:val="00B6452B"/>
    <w:rsid w:val="00B64830"/>
    <w:rsid w:val="00B64D1B"/>
    <w:rsid w:val="00B671E8"/>
    <w:rsid w:val="00B712FD"/>
    <w:rsid w:val="00B7179A"/>
    <w:rsid w:val="00B719E6"/>
    <w:rsid w:val="00B71F58"/>
    <w:rsid w:val="00B72DD6"/>
    <w:rsid w:val="00B7497E"/>
    <w:rsid w:val="00B74D07"/>
    <w:rsid w:val="00B76410"/>
    <w:rsid w:val="00B769DD"/>
    <w:rsid w:val="00B80323"/>
    <w:rsid w:val="00B80F42"/>
    <w:rsid w:val="00B822BB"/>
    <w:rsid w:val="00B82559"/>
    <w:rsid w:val="00B843C8"/>
    <w:rsid w:val="00B84AA7"/>
    <w:rsid w:val="00B84E98"/>
    <w:rsid w:val="00B85573"/>
    <w:rsid w:val="00B864EE"/>
    <w:rsid w:val="00B865CA"/>
    <w:rsid w:val="00B86D15"/>
    <w:rsid w:val="00B874E7"/>
    <w:rsid w:val="00B9066E"/>
    <w:rsid w:val="00B908FF"/>
    <w:rsid w:val="00B9128E"/>
    <w:rsid w:val="00B91827"/>
    <w:rsid w:val="00B91B7B"/>
    <w:rsid w:val="00B91F20"/>
    <w:rsid w:val="00B9249D"/>
    <w:rsid w:val="00B9254F"/>
    <w:rsid w:val="00B947FF"/>
    <w:rsid w:val="00B95BD7"/>
    <w:rsid w:val="00B9773C"/>
    <w:rsid w:val="00B97788"/>
    <w:rsid w:val="00BA1373"/>
    <w:rsid w:val="00BA417F"/>
    <w:rsid w:val="00BA46A1"/>
    <w:rsid w:val="00BB113A"/>
    <w:rsid w:val="00BB2AE4"/>
    <w:rsid w:val="00BB3154"/>
    <w:rsid w:val="00BB33EB"/>
    <w:rsid w:val="00BB3687"/>
    <w:rsid w:val="00BB419A"/>
    <w:rsid w:val="00BB5144"/>
    <w:rsid w:val="00BB70C3"/>
    <w:rsid w:val="00BC39E5"/>
    <w:rsid w:val="00BD1862"/>
    <w:rsid w:val="00BD271A"/>
    <w:rsid w:val="00BD3B1C"/>
    <w:rsid w:val="00BD7F1B"/>
    <w:rsid w:val="00BE2DF2"/>
    <w:rsid w:val="00BE339C"/>
    <w:rsid w:val="00BE3DA5"/>
    <w:rsid w:val="00BF10D1"/>
    <w:rsid w:val="00BF2732"/>
    <w:rsid w:val="00BF472F"/>
    <w:rsid w:val="00BF4CAB"/>
    <w:rsid w:val="00BF548B"/>
    <w:rsid w:val="00BF54E6"/>
    <w:rsid w:val="00BF6D11"/>
    <w:rsid w:val="00C04877"/>
    <w:rsid w:val="00C0525C"/>
    <w:rsid w:val="00C05C14"/>
    <w:rsid w:val="00C0716D"/>
    <w:rsid w:val="00C07375"/>
    <w:rsid w:val="00C178E8"/>
    <w:rsid w:val="00C202CA"/>
    <w:rsid w:val="00C210AB"/>
    <w:rsid w:val="00C210DC"/>
    <w:rsid w:val="00C22521"/>
    <w:rsid w:val="00C259A5"/>
    <w:rsid w:val="00C25BCA"/>
    <w:rsid w:val="00C27A38"/>
    <w:rsid w:val="00C30D09"/>
    <w:rsid w:val="00C30D58"/>
    <w:rsid w:val="00C32C88"/>
    <w:rsid w:val="00C33092"/>
    <w:rsid w:val="00C37821"/>
    <w:rsid w:val="00C439A3"/>
    <w:rsid w:val="00C449F3"/>
    <w:rsid w:val="00C45338"/>
    <w:rsid w:val="00C46A9B"/>
    <w:rsid w:val="00C47817"/>
    <w:rsid w:val="00C47E2B"/>
    <w:rsid w:val="00C47ED2"/>
    <w:rsid w:val="00C5075E"/>
    <w:rsid w:val="00C5514A"/>
    <w:rsid w:val="00C5743D"/>
    <w:rsid w:val="00C57D08"/>
    <w:rsid w:val="00C606C3"/>
    <w:rsid w:val="00C60AEA"/>
    <w:rsid w:val="00C619CE"/>
    <w:rsid w:val="00C627F1"/>
    <w:rsid w:val="00C650D8"/>
    <w:rsid w:val="00C65CF7"/>
    <w:rsid w:val="00C7132E"/>
    <w:rsid w:val="00C71872"/>
    <w:rsid w:val="00C71A39"/>
    <w:rsid w:val="00C72477"/>
    <w:rsid w:val="00C72841"/>
    <w:rsid w:val="00C7459C"/>
    <w:rsid w:val="00C7486F"/>
    <w:rsid w:val="00C75875"/>
    <w:rsid w:val="00C76C9C"/>
    <w:rsid w:val="00C77052"/>
    <w:rsid w:val="00C80114"/>
    <w:rsid w:val="00C82BC8"/>
    <w:rsid w:val="00C83365"/>
    <w:rsid w:val="00C8377C"/>
    <w:rsid w:val="00C83A72"/>
    <w:rsid w:val="00C83DEA"/>
    <w:rsid w:val="00C853CD"/>
    <w:rsid w:val="00C94AF1"/>
    <w:rsid w:val="00C9731B"/>
    <w:rsid w:val="00CA354D"/>
    <w:rsid w:val="00CA4E3E"/>
    <w:rsid w:val="00CA5531"/>
    <w:rsid w:val="00CA6999"/>
    <w:rsid w:val="00CA749C"/>
    <w:rsid w:val="00CA7AFA"/>
    <w:rsid w:val="00CB27C7"/>
    <w:rsid w:val="00CB521F"/>
    <w:rsid w:val="00CB6FE3"/>
    <w:rsid w:val="00CC0657"/>
    <w:rsid w:val="00CC0660"/>
    <w:rsid w:val="00CC1D85"/>
    <w:rsid w:val="00CC39B2"/>
    <w:rsid w:val="00CC405B"/>
    <w:rsid w:val="00CC4C00"/>
    <w:rsid w:val="00CD161A"/>
    <w:rsid w:val="00CD162E"/>
    <w:rsid w:val="00CD201E"/>
    <w:rsid w:val="00CD6499"/>
    <w:rsid w:val="00CD728A"/>
    <w:rsid w:val="00CD740F"/>
    <w:rsid w:val="00CD7444"/>
    <w:rsid w:val="00CE27A6"/>
    <w:rsid w:val="00CE3862"/>
    <w:rsid w:val="00CE5B59"/>
    <w:rsid w:val="00CE7EC4"/>
    <w:rsid w:val="00CF001B"/>
    <w:rsid w:val="00CF005A"/>
    <w:rsid w:val="00CF1147"/>
    <w:rsid w:val="00CF120E"/>
    <w:rsid w:val="00CF2446"/>
    <w:rsid w:val="00CF3642"/>
    <w:rsid w:val="00CF530D"/>
    <w:rsid w:val="00CF706D"/>
    <w:rsid w:val="00D014AE"/>
    <w:rsid w:val="00D01862"/>
    <w:rsid w:val="00D02821"/>
    <w:rsid w:val="00D02C94"/>
    <w:rsid w:val="00D07947"/>
    <w:rsid w:val="00D10F00"/>
    <w:rsid w:val="00D11564"/>
    <w:rsid w:val="00D11BFE"/>
    <w:rsid w:val="00D125E1"/>
    <w:rsid w:val="00D12CAF"/>
    <w:rsid w:val="00D13C98"/>
    <w:rsid w:val="00D1501C"/>
    <w:rsid w:val="00D15A9D"/>
    <w:rsid w:val="00D16DE0"/>
    <w:rsid w:val="00D170D5"/>
    <w:rsid w:val="00D176D8"/>
    <w:rsid w:val="00D17EAE"/>
    <w:rsid w:val="00D239AC"/>
    <w:rsid w:val="00D32AB8"/>
    <w:rsid w:val="00D3462A"/>
    <w:rsid w:val="00D37E24"/>
    <w:rsid w:val="00D41890"/>
    <w:rsid w:val="00D41B0B"/>
    <w:rsid w:val="00D44842"/>
    <w:rsid w:val="00D45B3E"/>
    <w:rsid w:val="00D463DF"/>
    <w:rsid w:val="00D5487C"/>
    <w:rsid w:val="00D57CC9"/>
    <w:rsid w:val="00D601DA"/>
    <w:rsid w:val="00D66421"/>
    <w:rsid w:val="00D667F2"/>
    <w:rsid w:val="00D709B1"/>
    <w:rsid w:val="00D711C8"/>
    <w:rsid w:val="00D74DA8"/>
    <w:rsid w:val="00D76C69"/>
    <w:rsid w:val="00D800F7"/>
    <w:rsid w:val="00D81503"/>
    <w:rsid w:val="00D8302A"/>
    <w:rsid w:val="00D86C77"/>
    <w:rsid w:val="00D87722"/>
    <w:rsid w:val="00D87E87"/>
    <w:rsid w:val="00D90F95"/>
    <w:rsid w:val="00D94DA7"/>
    <w:rsid w:val="00D94FE3"/>
    <w:rsid w:val="00D9550F"/>
    <w:rsid w:val="00DA2EDE"/>
    <w:rsid w:val="00DA33EB"/>
    <w:rsid w:val="00DA5833"/>
    <w:rsid w:val="00DA5C6D"/>
    <w:rsid w:val="00DA7277"/>
    <w:rsid w:val="00DA75DD"/>
    <w:rsid w:val="00DA7F28"/>
    <w:rsid w:val="00DB19CF"/>
    <w:rsid w:val="00DB658A"/>
    <w:rsid w:val="00DB72E3"/>
    <w:rsid w:val="00DC40F1"/>
    <w:rsid w:val="00DC61CD"/>
    <w:rsid w:val="00DD11A4"/>
    <w:rsid w:val="00DD18AB"/>
    <w:rsid w:val="00DD296D"/>
    <w:rsid w:val="00DD2CDB"/>
    <w:rsid w:val="00DD341D"/>
    <w:rsid w:val="00DD378D"/>
    <w:rsid w:val="00DD39AE"/>
    <w:rsid w:val="00DD493F"/>
    <w:rsid w:val="00DD61CB"/>
    <w:rsid w:val="00DD7D85"/>
    <w:rsid w:val="00DE0457"/>
    <w:rsid w:val="00DE253F"/>
    <w:rsid w:val="00DE44CF"/>
    <w:rsid w:val="00DE7E88"/>
    <w:rsid w:val="00DF11B5"/>
    <w:rsid w:val="00DF15B2"/>
    <w:rsid w:val="00DF2726"/>
    <w:rsid w:val="00DF27A7"/>
    <w:rsid w:val="00DF2FCD"/>
    <w:rsid w:val="00DF3962"/>
    <w:rsid w:val="00DF4280"/>
    <w:rsid w:val="00DF58B1"/>
    <w:rsid w:val="00E00520"/>
    <w:rsid w:val="00E006DC"/>
    <w:rsid w:val="00E0131C"/>
    <w:rsid w:val="00E03A2C"/>
    <w:rsid w:val="00E03A61"/>
    <w:rsid w:val="00E04301"/>
    <w:rsid w:val="00E05AD0"/>
    <w:rsid w:val="00E06428"/>
    <w:rsid w:val="00E06D85"/>
    <w:rsid w:val="00E116BA"/>
    <w:rsid w:val="00E12493"/>
    <w:rsid w:val="00E12715"/>
    <w:rsid w:val="00E1324E"/>
    <w:rsid w:val="00E13518"/>
    <w:rsid w:val="00E15919"/>
    <w:rsid w:val="00E1702A"/>
    <w:rsid w:val="00E17303"/>
    <w:rsid w:val="00E20236"/>
    <w:rsid w:val="00E20D9D"/>
    <w:rsid w:val="00E20EEF"/>
    <w:rsid w:val="00E21429"/>
    <w:rsid w:val="00E21ED5"/>
    <w:rsid w:val="00E23092"/>
    <w:rsid w:val="00E24F45"/>
    <w:rsid w:val="00E25D1F"/>
    <w:rsid w:val="00E261BE"/>
    <w:rsid w:val="00E27F28"/>
    <w:rsid w:val="00E32403"/>
    <w:rsid w:val="00E35060"/>
    <w:rsid w:val="00E40E14"/>
    <w:rsid w:val="00E4157E"/>
    <w:rsid w:val="00E41ED5"/>
    <w:rsid w:val="00E431CD"/>
    <w:rsid w:val="00E43E42"/>
    <w:rsid w:val="00E43F16"/>
    <w:rsid w:val="00E44718"/>
    <w:rsid w:val="00E45FDA"/>
    <w:rsid w:val="00E46B76"/>
    <w:rsid w:val="00E47BDB"/>
    <w:rsid w:val="00E50EBF"/>
    <w:rsid w:val="00E56400"/>
    <w:rsid w:val="00E56C3C"/>
    <w:rsid w:val="00E60048"/>
    <w:rsid w:val="00E60722"/>
    <w:rsid w:val="00E62A8D"/>
    <w:rsid w:val="00E638C7"/>
    <w:rsid w:val="00E71EA3"/>
    <w:rsid w:val="00E739F9"/>
    <w:rsid w:val="00E74B14"/>
    <w:rsid w:val="00E74C14"/>
    <w:rsid w:val="00E74DAF"/>
    <w:rsid w:val="00E74FD8"/>
    <w:rsid w:val="00E75858"/>
    <w:rsid w:val="00E7659B"/>
    <w:rsid w:val="00E77BB3"/>
    <w:rsid w:val="00E81FBE"/>
    <w:rsid w:val="00E854CB"/>
    <w:rsid w:val="00E85B07"/>
    <w:rsid w:val="00E90B2E"/>
    <w:rsid w:val="00E927D0"/>
    <w:rsid w:val="00E95B67"/>
    <w:rsid w:val="00E96843"/>
    <w:rsid w:val="00E9688F"/>
    <w:rsid w:val="00E97548"/>
    <w:rsid w:val="00E97601"/>
    <w:rsid w:val="00EA426E"/>
    <w:rsid w:val="00EA695B"/>
    <w:rsid w:val="00EA71AA"/>
    <w:rsid w:val="00EA735F"/>
    <w:rsid w:val="00EB2F23"/>
    <w:rsid w:val="00EB3142"/>
    <w:rsid w:val="00EB37FB"/>
    <w:rsid w:val="00EB53EC"/>
    <w:rsid w:val="00EB5FD6"/>
    <w:rsid w:val="00EB733A"/>
    <w:rsid w:val="00EB7905"/>
    <w:rsid w:val="00EC07B4"/>
    <w:rsid w:val="00EC1C08"/>
    <w:rsid w:val="00EC50CF"/>
    <w:rsid w:val="00EC57AA"/>
    <w:rsid w:val="00EC5AD4"/>
    <w:rsid w:val="00EC6CB8"/>
    <w:rsid w:val="00EC6CFC"/>
    <w:rsid w:val="00EC7CD8"/>
    <w:rsid w:val="00EC7E4E"/>
    <w:rsid w:val="00ED327F"/>
    <w:rsid w:val="00EE225F"/>
    <w:rsid w:val="00EE5FD2"/>
    <w:rsid w:val="00EE67DC"/>
    <w:rsid w:val="00EE6B5D"/>
    <w:rsid w:val="00EE747D"/>
    <w:rsid w:val="00EF0763"/>
    <w:rsid w:val="00EF2E71"/>
    <w:rsid w:val="00EF4422"/>
    <w:rsid w:val="00EF5700"/>
    <w:rsid w:val="00EF6097"/>
    <w:rsid w:val="00EF618B"/>
    <w:rsid w:val="00F00E3F"/>
    <w:rsid w:val="00F0122A"/>
    <w:rsid w:val="00F1056A"/>
    <w:rsid w:val="00F11EE3"/>
    <w:rsid w:val="00F125C0"/>
    <w:rsid w:val="00F12768"/>
    <w:rsid w:val="00F128EF"/>
    <w:rsid w:val="00F12B9E"/>
    <w:rsid w:val="00F13305"/>
    <w:rsid w:val="00F13F36"/>
    <w:rsid w:val="00F14E7C"/>
    <w:rsid w:val="00F15F98"/>
    <w:rsid w:val="00F1615C"/>
    <w:rsid w:val="00F212C3"/>
    <w:rsid w:val="00F2178A"/>
    <w:rsid w:val="00F22C9F"/>
    <w:rsid w:val="00F23865"/>
    <w:rsid w:val="00F23943"/>
    <w:rsid w:val="00F23E3C"/>
    <w:rsid w:val="00F267E6"/>
    <w:rsid w:val="00F268D8"/>
    <w:rsid w:val="00F26C46"/>
    <w:rsid w:val="00F303A1"/>
    <w:rsid w:val="00F317E5"/>
    <w:rsid w:val="00F31B31"/>
    <w:rsid w:val="00F35476"/>
    <w:rsid w:val="00F368C2"/>
    <w:rsid w:val="00F3773E"/>
    <w:rsid w:val="00F422EC"/>
    <w:rsid w:val="00F432CF"/>
    <w:rsid w:val="00F46459"/>
    <w:rsid w:val="00F46E56"/>
    <w:rsid w:val="00F46E7F"/>
    <w:rsid w:val="00F50693"/>
    <w:rsid w:val="00F50AFF"/>
    <w:rsid w:val="00F534E9"/>
    <w:rsid w:val="00F54517"/>
    <w:rsid w:val="00F54F98"/>
    <w:rsid w:val="00F57DC5"/>
    <w:rsid w:val="00F60382"/>
    <w:rsid w:val="00F62259"/>
    <w:rsid w:val="00F650C4"/>
    <w:rsid w:val="00F658BD"/>
    <w:rsid w:val="00F70D08"/>
    <w:rsid w:val="00F75381"/>
    <w:rsid w:val="00F75CA7"/>
    <w:rsid w:val="00F80EC4"/>
    <w:rsid w:val="00F814F5"/>
    <w:rsid w:val="00F81CE8"/>
    <w:rsid w:val="00F825AA"/>
    <w:rsid w:val="00F8292B"/>
    <w:rsid w:val="00F84CDB"/>
    <w:rsid w:val="00F8787E"/>
    <w:rsid w:val="00F91CC1"/>
    <w:rsid w:val="00F97310"/>
    <w:rsid w:val="00FA2816"/>
    <w:rsid w:val="00FA2D1E"/>
    <w:rsid w:val="00FA52B2"/>
    <w:rsid w:val="00FA5520"/>
    <w:rsid w:val="00FA59DB"/>
    <w:rsid w:val="00FB0BD8"/>
    <w:rsid w:val="00FB2C01"/>
    <w:rsid w:val="00FB480D"/>
    <w:rsid w:val="00FB574A"/>
    <w:rsid w:val="00FB5BA4"/>
    <w:rsid w:val="00FB6300"/>
    <w:rsid w:val="00FB7031"/>
    <w:rsid w:val="00FB78D2"/>
    <w:rsid w:val="00FC2EDB"/>
    <w:rsid w:val="00FC3708"/>
    <w:rsid w:val="00FC394D"/>
    <w:rsid w:val="00FC39D0"/>
    <w:rsid w:val="00FC459F"/>
    <w:rsid w:val="00FC4F1C"/>
    <w:rsid w:val="00FC5C25"/>
    <w:rsid w:val="00FD2A06"/>
    <w:rsid w:val="00FD622C"/>
    <w:rsid w:val="00FD766C"/>
    <w:rsid w:val="00FD7D3A"/>
    <w:rsid w:val="00FE229D"/>
    <w:rsid w:val="00FE28CA"/>
    <w:rsid w:val="00FE42E1"/>
    <w:rsid w:val="00FE63FF"/>
    <w:rsid w:val="00FE66ED"/>
    <w:rsid w:val="00FE67D9"/>
    <w:rsid w:val="00FE7103"/>
    <w:rsid w:val="00FF0507"/>
    <w:rsid w:val="00FF0599"/>
    <w:rsid w:val="00FF077F"/>
    <w:rsid w:val="00FF2AAE"/>
    <w:rsid w:val="00FF2FA9"/>
    <w:rsid w:val="00FF381F"/>
    <w:rsid w:val="00FF469A"/>
    <w:rsid w:val="00FF6F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DCB96"/>
  <w15:chartTrackingRefBased/>
  <w15:docId w15:val="{0D7E7295-019D-4801-B9CD-8E125A4C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571997"/>
    <w:pPr>
      <w:ind w:left="720"/>
      <w:contextualSpacing/>
    </w:pPr>
  </w:style>
  <w:style w:type="character" w:customStyle="1" w:styleId="QuoteChar">
    <w:name w:val="Quote Char"/>
    <w:basedOn w:val="DefaultParagraphFont"/>
    <w:link w:val="Quote"/>
    <w:rsid w:val="00F35476"/>
    <w:rPr>
      <w:sz w:val="24"/>
      <w:lang w:eastAsia="en-US"/>
    </w:rPr>
  </w:style>
  <w:style w:type="character" w:styleId="CommentReference">
    <w:name w:val="annotation reference"/>
    <w:basedOn w:val="DefaultParagraphFont"/>
    <w:rsid w:val="00D32AB8"/>
    <w:rPr>
      <w:sz w:val="16"/>
      <w:szCs w:val="16"/>
    </w:rPr>
  </w:style>
  <w:style w:type="paragraph" w:styleId="CommentText">
    <w:name w:val="annotation text"/>
    <w:basedOn w:val="Normal"/>
    <w:link w:val="CommentTextChar"/>
    <w:rsid w:val="00D32AB8"/>
    <w:rPr>
      <w:sz w:val="20"/>
      <w:szCs w:val="20"/>
    </w:rPr>
  </w:style>
  <w:style w:type="character" w:customStyle="1" w:styleId="CommentTextChar">
    <w:name w:val="Comment Text Char"/>
    <w:basedOn w:val="DefaultParagraphFont"/>
    <w:link w:val="CommentText"/>
    <w:rsid w:val="00D32AB8"/>
    <w:rPr>
      <w:lang w:eastAsia="en-US"/>
    </w:rPr>
  </w:style>
  <w:style w:type="paragraph" w:styleId="CommentSubject">
    <w:name w:val="annotation subject"/>
    <w:basedOn w:val="CommentText"/>
    <w:next w:val="CommentText"/>
    <w:link w:val="CommentSubjectChar"/>
    <w:rsid w:val="00D32AB8"/>
    <w:rPr>
      <w:b/>
      <w:bCs/>
    </w:rPr>
  </w:style>
  <w:style w:type="character" w:customStyle="1" w:styleId="CommentSubjectChar">
    <w:name w:val="Comment Subject Char"/>
    <w:basedOn w:val="CommentTextChar"/>
    <w:link w:val="CommentSubject"/>
    <w:rsid w:val="00D32AB8"/>
    <w:rPr>
      <w:b/>
      <w:bCs/>
      <w:lang w:eastAsia="en-US"/>
    </w:rPr>
  </w:style>
  <w:style w:type="paragraph" w:styleId="Revision">
    <w:name w:val="Revision"/>
    <w:hidden/>
    <w:uiPriority w:val="99"/>
    <w:semiHidden/>
    <w:rsid w:val="00305B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669432">
      <w:bodyDiv w:val="1"/>
      <w:marLeft w:val="0"/>
      <w:marRight w:val="0"/>
      <w:marTop w:val="0"/>
      <w:marBottom w:val="0"/>
      <w:divBdr>
        <w:top w:val="none" w:sz="0" w:space="0" w:color="auto"/>
        <w:left w:val="none" w:sz="0" w:space="0" w:color="auto"/>
        <w:bottom w:val="none" w:sz="0" w:space="0" w:color="auto"/>
        <w:right w:val="none" w:sz="0" w:space="0" w:color="auto"/>
      </w:divBdr>
    </w:div>
    <w:div w:id="8924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w06x\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1</TotalTime>
  <Pages>22</Pages>
  <Words>10306</Words>
  <Characters>52164</Characters>
  <Application>Microsoft Office Word</Application>
  <DocSecurity>4</DocSecurity>
  <Lines>434</Lines>
  <Paragraphs>124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62346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Sanchez, Lisa</dc:creator>
  <cp:keywords/>
  <dc:description/>
  <cp:lastModifiedBy>Richard Hoyle</cp:lastModifiedBy>
  <cp:revision>2</cp:revision>
  <dcterms:created xsi:type="dcterms:W3CDTF">2025-07-25T13:21:00Z</dcterms:created>
  <dcterms:modified xsi:type="dcterms:W3CDTF">2025-07-25T13:21:00Z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ies>
</file>