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C7C2" w14:textId="77777777" w:rsidR="008968CB" w:rsidRPr="00D84F41" w:rsidRDefault="008968CB" w:rsidP="008968CB">
      <w:pPr>
        <w:spacing w:line="360" w:lineRule="auto"/>
        <w:ind w:left="720" w:hanging="360"/>
        <w:jc w:val="center"/>
        <w:rPr>
          <w:rFonts w:ascii="Times New Roman" w:hAnsi="Times New Roman" w:cs="Times New Roman"/>
          <w:b/>
          <w:u w:val="single"/>
        </w:rPr>
      </w:pPr>
      <w:r w:rsidRPr="00D84F41">
        <w:rPr>
          <w:rFonts w:ascii="Times New Roman" w:hAnsi="Times New Roman" w:cs="Times New Roman"/>
          <w:b/>
          <w:u w:val="single"/>
        </w:rPr>
        <w:t xml:space="preserve">The “presumption” of English law: a case note on </w:t>
      </w:r>
      <w:r w:rsidRPr="00D84F41">
        <w:rPr>
          <w:rFonts w:ascii="Times New Roman" w:hAnsi="Times New Roman" w:cs="Times New Roman"/>
          <w:b/>
          <w:i/>
          <w:u w:val="single"/>
        </w:rPr>
        <w:t xml:space="preserve">Iranian Offshore Engineering and Construction Company v Dean Investment Holdings S.A. et al </w:t>
      </w:r>
      <w:r w:rsidRPr="00D84F41">
        <w:rPr>
          <w:rFonts w:ascii="Times New Roman" w:hAnsi="Times New Roman" w:cs="Times New Roman"/>
          <w:b/>
          <w:u w:val="single"/>
        </w:rPr>
        <w:t>[2019] 1 WLR 82</w:t>
      </w:r>
    </w:p>
    <w:p w14:paraId="458449D3" w14:textId="77777777" w:rsidR="008968CB" w:rsidRPr="00D84F41" w:rsidRDefault="008968CB" w:rsidP="008968CB">
      <w:pPr>
        <w:spacing w:line="360" w:lineRule="auto"/>
        <w:ind w:left="720" w:hanging="360"/>
        <w:jc w:val="both"/>
        <w:rPr>
          <w:rFonts w:ascii="Times New Roman" w:hAnsi="Times New Roman" w:cs="Times New Roman"/>
          <w:u w:val="single"/>
        </w:rPr>
      </w:pPr>
    </w:p>
    <w:p w14:paraId="7F10F027" w14:textId="77777777" w:rsidR="00770290" w:rsidRPr="00D84F41" w:rsidRDefault="00770290" w:rsidP="008968CB">
      <w:pPr>
        <w:spacing w:line="360" w:lineRule="auto"/>
        <w:ind w:left="720" w:hanging="360"/>
        <w:jc w:val="both"/>
        <w:rPr>
          <w:rFonts w:ascii="Times New Roman" w:hAnsi="Times New Roman" w:cs="Times New Roman"/>
          <w:u w:val="single"/>
        </w:rPr>
      </w:pPr>
      <w:r w:rsidRPr="00D84F41">
        <w:rPr>
          <w:rFonts w:ascii="Times New Roman" w:hAnsi="Times New Roman" w:cs="Times New Roman"/>
          <w:u w:val="single"/>
        </w:rPr>
        <w:t>Introduction</w:t>
      </w:r>
    </w:p>
    <w:p w14:paraId="47D9F377" w14:textId="77777777" w:rsidR="00770290" w:rsidRPr="00D84F41" w:rsidRDefault="00770290" w:rsidP="008968CB">
      <w:pPr>
        <w:spacing w:line="360" w:lineRule="auto"/>
        <w:ind w:left="720" w:hanging="360"/>
        <w:jc w:val="both"/>
        <w:rPr>
          <w:rFonts w:ascii="Times New Roman" w:hAnsi="Times New Roman" w:cs="Times New Roman"/>
          <w:u w:val="single"/>
        </w:rPr>
      </w:pPr>
    </w:p>
    <w:p w14:paraId="0F5DFA45" w14:textId="4719B0AB" w:rsidR="00275738" w:rsidRPr="00D84F41" w:rsidRDefault="00A33568"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I</w:t>
      </w:r>
      <w:r w:rsidR="00EC09E6" w:rsidRPr="00D84F41">
        <w:rPr>
          <w:rFonts w:ascii="Times New Roman" w:hAnsi="Times New Roman" w:cs="Times New Roman"/>
        </w:rPr>
        <w:t xml:space="preserve">n </w:t>
      </w:r>
      <w:r w:rsidR="00EC09E6" w:rsidRPr="00D84F41">
        <w:rPr>
          <w:rFonts w:ascii="Times New Roman" w:hAnsi="Times New Roman" w:cs="Times New Roman"/>
          <w:i/>
        </w:rPr>
        <w:t xml:space="preserve">Iranian Offshore Engineering and Construction Company v Dean Investment Holdings S.A. et al </w:t>
      </w:r>
      <w:r w:rsidR="00EC09E6" w:rsidRPr="00D84F41">
        <w:rPr>
          <w:rFonts w:ascii="Times New Roman" w:hAnsi="Times New Roman" w:cs="Times New Roman"/>
        </w:rPr>
        <w:t>[201</w:t>
      </w:r>
      <w:r w:rsidR="00DB0048" w:rsidRPr="00D84F41">
        <w:rPr>
          <w:rFonts w:ascii="Times New Roman" w:hAnsi="Times New Roman" w:cs="Times New Roman"/>
        </w:rPr>
        <w:t>9</w:t>
      </w:r>
      <w:r w:rsidR="00EC09E6" w:rsidRPr="00D84F41">
        <w:rPr>
          <w:rFonts w:ascii="Times New Roman" w:hAnsi="Times New Roman" w:cs="Times New Roman"/>
        </w:rPr>
        <w:t xml:space="preserve">] </w:t>
      </w:r>
      <w:r w:rsidR="00DB0048" w:rsidRPr="00D84F41">
        <w:rPr>
          <w:rFonts w:ascii="Times New Roman" w:hAnsi="Times New Roman" w:cs="Times New Roman"/>
        </w:rPr>
        <w:t>1 WLR 82</w:t>
      </w:r>
      <w:r w:rsidR="008968CB" w:rsidRPr="00D84F41">
        <w:rPr>
          <w:rFonts w:ascii="Times New Roman" w:hAnsi="Times New Roman" w:cs="Times New Roman"/>
        </w:rPr>
        <w:t xml:space="preserve"> Baker J </w:t>
      </w:r>
      <w:r w:rsidR="008E16D6" w:rsidRPr="00D84F41">
        <w:rPr>
          <w:rFonts w:ascii="Times New Roman" w:hAnsi="Times New Roman" w:cs="Times New Roman"/>
        </w:rPr>
        <w:t xml:space="preserve">gave an important ruling on </w:t>
      </w:r>
      <w:r w:rsidR="00EC09E6" w:rsidRPr="00D84F41">
        <w:rPr>
          <w:rFonts w:ascii="Times New Roman" w:hAnsi="Times New Roman" w:cs="Times New Roman"/>
        </w:rPr>
        <w:t xml:space="preserve">an issue regarding </w:t>
      </w:r>
      <w:r w:rsidR="008968CB" w:rsidRPr="00D84F41">
        <w:rPr>
          <w:rFonts w:ascii="Times New Roman" w:hAnsi="Times New Roman" w:cs="Times New Roman"/>
        </w:rPr>
        <w:t xml:space="preserve">the Claimant’s </w:t>
      </w:r>
      <w:r w:rsidR="00EC09E6" w:rsidRPr="00D84F41">
        <w:rPr>
          <w:rFonts w:ascii="Times New Roman" w:hAnsi="Times New Roman" w:cs="Times New Roman"/>
        </w:rPr>
        <w:t xml:space="preserve">reliance on the </w:t>
      </w:r>
      <w:r w:rsidR="00F6322B" w:rsidRPr="00D84F41">
        <w:rPr>
          <w:rFonts w:ascii="Times New Roman" w:hAnsi="Times New Roman" w:cs="Times New Roman"/>
        </w:rPr>
        <w:t xml:space="preserve">“presumption” or “evidential assumption” </w:t>
      </w:r>
      <w:r w:rsidR="00DB0048" w:rsidRPr="00D84F41">
        <w:rPr>
          <w:rFonts w:ascii="Times New Roman" w:hAnsi="Times New Roman" w:cs="Times New Roman"/>
        </w:rPr>
        <w:t>under</w:t>
      </w:r>
      <w:r w:rsidR="00F6322B" w:rsidRPr="00D84F41">
        <w:rPr>
          <w:rFonts w:ascii="Times New Roman" w:hAnsi="Times New Roman" w:cs="Times New Roman"/>
        </w:rPr>
        <w:t xml:space="preserve"> English law that in the absence of satisfactory evidence of foreign law, the court will apply English law</w:t>
      </w:r>
      <w:r w:rsidR="00275738" w:rsidRPr="00D84F41">
        <w:rPr>
          <w:rFonts w:ascii="Times New Roman" w:hAnsi="Times New Roman" w:cs="Times New Roman"/>
        </w:rPr>
        <w:t>.</w:t>
      </w:r>
      <w:r w:rsidR="00D325AD" w:rsidRPr="00D84F41">
        <w:rPr>
          <w:rFonts w:ascii="Times New Roman" w:hAnsi="Times New Roman" w:cs="Times New Roman"/>
        </w:rPr>
        <w:t xml:space="preserve"> </w:t>
      </w:r>
    </w:p>
    <w:p w14:paraId="2356DAF9" w14:textId="77777777" w:rsidR="00275738" w:rsidRPr="00D84F41" w:rsidRDefault="00275738" w:rsidP="008968CB">
      <w:pPr>
        <w:spacing w:line="360" w:lineRule="auto"/>
        <w:ind w:left="360"/>
        <w:jc w:val="both"/>
        <w:rPr>
          <w:rFonts w:ascii="Times New Roman" w:hAnsi="Times New Roman" w:cs="Times New Roman"/>
        </w:rPr>
      </w:pPr>
    </w:p>
    <w:p w14:paraId="561B34E2" w14:textId="77777777" w:rsidR="00F6322B" w:rsidRPr="00D84F41" w:rsidRDefault="00275738"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T</w:t>
      </w:r>
      <w:r w:rsidR="00D325AD" w:rsidRPr="00D84F41">
        <w:rPr>
          <w:rFonts w:ascii="Times New Roman" w:hAnsi="Times New Roman" w:cs="Times New Roman"/>
        </w:rPr>
        <w:t>he basic rule</w:t>
      </w:r>
      <w:r w:rsidR="008968CB" w:rsidRPr="00D84F41">
        <w:rPr>
          <w:rFonts w:ascii="Times New Roman" w:hAnsi="Times New Roman" w:cs="Times New Roman"/>
        </w:rPr>
        <w:t xml:space="preserve"> at the heart of the debate</w:t>
      </w:r>
      <w:r w:rsidR="00D325AD" w:rsidRPr="00D84F41">
        <w:rPr>
          <w:rFonts w:ascii="Times New Roman" w:hAnsi="Times New Roman" w:cs="Times New Roman"/>
        </w:rPr>
        <w:t xml:space="preserve"> </w:t>
      </w:r>
      <w:r w:rsidR="008968CB" w:rsidRPr="00D84F41">
        <w:rPr>
          <w:rFonts w:ascii="Times New Roman" w:hAnsi="Times New Roman" w:cs="Times New Roman"/>
        </w:rPr>
        <w:t>wa</w:t>
      </w:r>
      <w:r w:rsidR="00D325AD" w:rsidRPr="00D84F41">
        <w:rPr>
          <w:rFonts w:ascii="Times New Roman" w:hAnsi="Times New Roman" w:cs="Times New Roman"/>
        </w:rPr>
        <w:t xml:space="preserve">s set out as Rule 25(2) </w:t>
      </w:r>
      <w:r w:rsidR="008968CB" w:rsidRPr="00D84F41">
        <w:rPr>
          <w:rFonts w:ascii="Times New Roman" w:hAnsi="Times New Roman" w:cs="Times New Roman"/>
        </w:rPr>
        <w:t>of</w:t>
      </w:r>
      <w:r w:rsidR="00D325AD" w:rsidRPr="00D84F41">
        <w:rPr>
          <w:rFonts w:ascii="Times New Roman" w:hAnsi="Times New Roman" w:cs="Times New Roman"/>
        </w:rPr>
        <w:t xml:space="preserve"> </w:t>
      </w:r>
      <w:r w:rsidR="00D325AD" w:rsidRPr="00D84F41">
        <w:rPr>
          <w:rFonts w:ascii="Times New Roman" w:hAnsi="Times New Roman" w:cs="Times New Roman"/>
          <w:i/>
        </w:rPr>
        <w:t xml:space="preserve">Dicey, Morris &amp; Collins, “The Conflict of Laws” </w:t>
      </w:r>
      <w:r w:rsidR="00D325AD" w:rsidRPr="00D84F41">
        <w:rPr>
          <w:rFonts w:ascii="Times New Roman" w:hAnsi="Times New Roman" w:cs="Times New Roman"/>
        </w:rPr>
        <w:t>(15</w:t>
      </w:r>
      <w:r w:rsidR="00D325AD" w:rsidRPr="00D84F41">
        <w:rPr>
          <w:rFonts w:ascii="Times New Roman" w:hAnsi="Times New Roman" w:cs="Times New Roman"/>
          <w:vertAlign w:val="superscript"/>
        </w:rPr>
        <w:t>th</w:t>
      </w:r>
      <w:r w:rsidR="00D325AD" w:rsidRPr="00D84F41">
        <w:rPr>
          <w:rFonts w:ascii="Times New Roman" w:hAnsi="Times New Roman" w:cs="Times New Roman"/>
        </w:rPr>
        <w:t xml:space="preserve"> Ed)</w:t>
      </w:r>
      <w:r w:rsidR="009D77D7" w:rsidRPr="00D84F41">
        <w:rPr>
          <w:rFonts w:ascii="Times New Roman" w:hAnsi="Times New Roman" w:cs="Times New Roman"/>
        </w:rPr>
        <w:t xml:space="preserve"> (“</w:t>
      </w:r>
      <w:r w:rsidR="009D77D7" w:rsidRPr="00D84F41">
        <w:rPr>
          <w:rFonts w:ascii="Times New Roman" w:hAnsi="Times New Roman" w:cs="Times New Roman"/>
          <w:i/>
        </w:rPr>
        <w:t>Dicey</w:t>
      </w:r>
      <w:r w:rsidR="009D77D7" w:rsidRPr="00D84F41">
        <w:rPr>
          <w:rFonts w:ascii="Times New Roman" w:hAnsi="Times New Roman" w:cs="Times New Roman"/>
        </w:rPr>
        <w:t>”)</w:t>
      </w:r>
      <w:r w:rsidR="008968CB" w:rsidRPr="00D84F41">
        <w:rPr>
          <w:rFonts w:ascii="Times New Roman" w:hAnsi="Times New Roman" w:cs="Times New Roman"/>
        </w:rPr>
        <w:t xml:space="preserve"> and reads as follows</w:t>
      </w:r>
      <w:r w:rsidRPr="00D84F41">
        <w:rPr>
          <w:rFonts w:ascii="Times New Roman" w:hAnsi="Times New Roman" w:cs="Times New Roman"/>
        </w:rPr>
        <w:t>:</w:t>
      </w:r>
    </w:p>
    <w:p w14:paraId="6CC8A54E" w14:textId="77777777" w:rsidR="00275738" w:rsidRPr="00D84F41" w:rsidRDefault="00275738" w:rsidP="008968CB">
      <w:pPr>
        <w:pStyle w:val="ListParagraph"/>
        <w:spacing w:line="360" w:lineRule="auto"/>
        <w:rPr>
          <w:rFonts w:ascii="Times New Roman" w:hAnsi="Times New Roman" w:cs="Times New Roman"/>
        </w:rPr>
      </w:pPr>
    </w:p>
    <w:p w14:paraId="687A8E0E" w14:textId="77777777" w:rsidR="00275738" w:rsidRPr="00D84F41" w:rsidRDefault="00275738" w:rsidP="008968CB">
      <w:pPr>
        <w:spacing w:line="276" w:lineRule="auto"/>
        <w:ind w:left="720"/>
        <w:jc w:val="both"/>
        <w:rPr>
          <w:rFonts w:ascii="Times New Roman" w:hAnsi="Times New Roman" w:cs="Times New Roman"/>
          <w:i/>
        </w:rPr>
      </w:pPr>
      <w:r w:rsidRPr="00D84F41">
        <w:rPr>
          <w:rFonts w:ascii="Times New Roman" w:hAnsi="Times New Roman" w:cs="Times New Roman"/>
        </w:rPr>
        <w:t>“</w:t>
      </w:r>
      <w:r w:rsidRPr="00D84F41">
        <w:rPr>
          <w:rFonts w:ascii="Times New Roman" w:hAnsi="Times New Roman" w:cs="Times New Roman"/>
          <w:i/>
        </w:rPr>
        <w:t>(1) In any case to which foreign law applies, that law must be pleaded and proved as a fact to the satisfaction of the judge by expert evidence or sometimes by certain other means.</w:t>
      </w:r>
    </w:p>
    <w:p w14:paraId="40A89E81" w14:textId="77777777" w:rsidR="00275738" w:rsidRPr="00D84F41" w:rsidRDefault="00275738" w:rsidP="008968CB">
      <w:pPr>
        <w:spacing w:line="276" w:lineRule="auto"/>
        <w:ind w:left="720"/>
        <w:jc w:val="both"/>
        <w:rPr>
          <w:rFonts w:ascii="Times New Roman" w:hAnsi="Times New Roman" w:cs="Times New Roman"/>
          <w:i/>
        </w:rPr>
      </w:pPr>
    </w:p>
    <w:p w14:paraId="1FD59887" w14:textId="77777777" w:rsidR="00275738" w:rsidRPr="00D84F41" w:rsidRDefault="00275738" w:rsidP="008968CB">
      <w:pPr>
        <w:spacing w:line="276" w:lineRule="auto"/>
        <w:ind w:left="720"/>
        <w:jc w:val="both"/>
        <w:rPr>
          <w:rFonts w:ascii="Times New Roman" w:hAnsi="Times New Roman" w:cs="Times New Roman"/>
        </w:rPr>
      </w:pPr>
      <w:r w:rsidRPr="00D84F41">
        <w:rPr>
          <w:rFonts w:ascii="Times New Roman" w:hAnsi="Times New Roman" w:cs="Times New Roman"/>
          <w:i/>
        </w:rPr>
        <w:t>(2) In the absence of satisfactory evidence of foreign law, the court will apply English law to such a case.</w:t>
      </w:r>
      <w:r w:rsidRPr="00D84F41">
        <w:rPr>
          <w:rFonts w:ascii="Times New Roman" w:hAnsi="Times New Roman" w:cs="Times New Roman"/>
        </w:rPr>
        <w:t>”</w:t>
      </w:r>
    </w:p>
    <w:p w14:paraId="60492877" w14:textId="77777777" w:rsidR="00F6322B" w:rsidRPr="00D84F41" w:rsidRDefault="00F6322B" w:rsidP="008968CB">
      <w:pPr>
        <w:spacing w:line="360" w:lineRule="auto"/>
        <w:jc w:val="both"/>
        <w:rPr>
          <w:rFonts w:ascii="Times New Roman" w:hAnsi="Times New Roman" w:cs="Times New Roman"/>
        </w:rPr>
      </w:pPr>
    </w:p>
    <w:p w14:paraId="71A24AA0" w14:textId="77777777" w:rsidR="00770290" w:rsidRPr="00D84F41" w:rsidRDefault="00770290" w:rsidP="008968CB">
      <w:pPr>
        <w:spacing w:line="360" w:lineRule="auto"/>
        <w:ind w:left="360"/>
        <w:jc w:val="both"/>
        <w:rPr>
          <w:rFonts w:ascii="Times New Roman" w:hAnsi="Times New Roman" w:cs="Times New Roman"/>
          <w:u w:val="single"/>
        </w:rPr>
      </w:pPr>
      <w:r w:rsidRPr="00D84F41">
        <w:rPr>
          <w:rFonts w:ascii="Times New Roman" w:hAnsi="Times New Roman" w:cs="Times New Roman"/>
          <w:u w:val="single"/>
        </w:rPr>
        <w:t>Background</w:t>
      </w:r>
    </w:p>
    <w:p w14:paraId="7A15BD74" w14:textId="77777777" w:rsidR="00770290" w:rsidRPr="00D84F41" w:rsidRDefault="00770290" w:rsidP="008968CB">
      <w:pPr>
        <w:spacing w:line="360" w:lineRule="auto"/>
        <w:ind w:left="360"/>
        <w:jc w:val="both"/>
        <w:rPr>
          <w:rFonts w:ascii="Times New Roman" w:hAnsi="Times New Roman" w:cs="Times New Roman"/>
          <w:u w:val="single"/>
        </w:rPr>
      </w:pPr>
    </w:p>
    <w:p w14:paraId="2F12098C" w14:textId="77777777" w:rsidR="008968CB" w:rsidRPr="00D84F41" w:rsidRDefault="00D325AD"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Briefly stated, the</w:t>
      </w:r>
      <w:r w:rsidR="008968CB" w:rsidRPr="00D84F41">
        <w:rPr>
          <w:rFonts w:ascii="Times New Roman" w:hAnsi="Times New Roman" w:cs="Times New Roman"/>
        </w:rPr>
        <w:t xml:space="preserve"> relevant</w:t>
      </w:r>
      <w:r w:rsidR="00D740A2" w:rsidRPr="00D84F41">
        <w:rPr>
          <w:rFonts w:ascii="Times New Roman" w:hAnsi="Times New Roman" w:cs="Times New Roman"/>
        </w:rPr>
        <w:t xml:space="preserve"> background to the issue was as follows:</w:t>
      </w:r>
    </w:p>
    <w:p w14:paraId="620503D1" w14:textId="77777777" w:rsidR="008968CB" w:rsidRPr="00D84F41" w:rsidRDefault="008968CB" w:rsidP="008968CB">
      <w:pPr>
        <w:spacing w:line="360" w:lineRule="auto"/>
        <w:jc w:val="both"/>
        <w:rPr>
          <w:rFonts w:ascii="Times New Roman" w:hAnsi="Times New Roman" w:cs="Times New Roman"/>
        </w:rPr>
      </w:pPr>
    </w:p>
    <w:p w14:paraId="75705F76" w14:textId="77777777" w:rsidR="008968CB" w:rsidRPr="00D84F41" w:rsidRDefault="00D740A2" w:rsidP="008968CB">
      <w:pPr>
        <w:pStyle w:val="ListParagraph"/>
        <w:numPr>
          <w:ilvl w:val="1"/>
          <w:numId w:val="1"/>
        </w:numPr>
        <w:spacing w:line="360" w:lineRule="auto"/>
        <w:jc w:val="both"/>
        <w:rPr>
          <w:rFonts w:ascii="Times New Roman" w:hAnsi="Times New Roman" w:cs="Times New Roman"/>
        </w:rPr>
      </w:pPr>
      <w:r w:rsidRPr="00D84F41">
        <w:rPr>
          <w:rFonts w:ascii="Times New Roman" w:hAnsi="Times New Roman" w:cs="Times New Roman"/>
        </w:rPr>
        <w:t>t</w:t>
      </w:r>
      <w:r w:rsidR="00EC09E6" w:rsidRPr="00D84F41">
        <w:rPr>
          <w:rFonts w:ascii="Times New Roman" w:hAnsi="Times New Roman" w:cs="Times New Roman"/>
        </w:rPr>
        <w:t xml:space="preserve">he Claimant (“IOEC”) had </w:t>
      </w:r>
      <w:r w:rsidR="009C6B3D" w:rsidRPr="00D84F41">
        <w:rPr>
          <w:rFonts w:ascii="Times New Roman" w:hAnsi="Times New Roman" w:cs="Times New Roman"/>
        </w:rPr>
        <w:t>pleaded its claim under English law</w:t>
      </w:r>
      <w:r w:rsidR="00275738" w:rsidRPr="00D84F41">
        <w:rPr>
          <w:rFonts w:ascii="Times New Roman" w:hAnsi="Times New Roman" w:cs="Times New Roman"/>
        </w:rPr>
        <w:t xml:space="preserve"> </w:t>
      </w:r>
      <w:r w:rsidR="00275738" w:rsidRPr="00D84F41">
        <w:rPr>
          <w:rFonts w:ascii="Times New Roman" w:hAnsi="Times New Roman" w:cs="Times New Roman"/>
          <w:i/>
        </w:rPr>
        <w:t>without</w:t>
      </w:r>
      <w:r w:rsidR="00275738" w:rsidRPr="00D84F41">
        <w:rPr>
          <w:rFonts w:ascii="Times New Roman" w:hAnsi="Times New Roman" w:cs="Times New Roman"/>
        </w:rPr>
        <w:t xml:space="preserve"> any reference to Iranian law</w:t>
      </w:r>
      <w:r w:rsidRPr="00D84F41">
        <w:rPr>
          <w:rFonts w:ascii="Times New Roman" w:hAnsi="Times New Roman" w:cs="Times New Roman"/>
        </w:rPr>
        <w:t xml:space="preserve">; </w:t>
      </w:r>
    </w:p>
    <w:p w14:paraId="730B1957" w14:textId="77777777" w:rsidR="008968CB" w:rsidRPr="00D84F41" w:rsidRDefault="00D740A2" w:rsidP="008968CB">
      <w:pPr>
        <w:pStyle w:val="ListParagraph"/>
        <w:numPr>
          <w:ilvl w:val="1"/>
          <w:numId w:val="1"/>
        </w:numPr>
        <w:spacing w:line="360" w:lineRule="auto"/>
        <w:jc w:val="both"/>
        <w:rPr>
          <w:rFonts w:ascii="Times New Roman" w:hAnsi="Times New Roman" w:cs="Times New Roman"/>
        </w:rPr>
      </w:pPr>
      <w:r w:rsidRPr="00D84F41">
        <w:rPr>
          <w:rFonts w:ascii="Times New Roman" w:hAnsi="Times New Roman" w:cs="Times New Roman"/>
        </w:rPr>
        <w:t>t</w:t>
      </w:r>
      <w:r w:rsidR="009C6B3D" w:rsidRPr="00D84F41">
        <w:rPr>
          <w:rFonts w:ascii="Times New Roman" w:hAnsi="Times New Roman" w:cs="Times New Roman"/>
        </w:rPr>
        <w:t xml:space="preserve">he </w:t>
      </w:r>
      <w:r w:rsidR="00EC09E6" w:rsidRPr="00D84F41">
        <w:rPr>
          <w:rFonts w:ascii="Times New Roman" w:hAnsi="Times New Roman" w:cs="Times New Roman"/>
        </w:rPr>
        <w:t xml:space="preserve">two represented Defendants (“D5/D6”) </w:t>
      </w:r>
      <w:r w:rsidR="009C6B3D" w:rsidRPr="00D84F41">
        <w:rPr>
          <w:rFonts w:ascii="Times New Roman" w:hAnsi="Times New Roman" w:cs="Times New Roman"/>
        </w:rPr>
        <w:t xml:space="preserve">had served a defence stating that Iranian law applied to certain matters, but </w:t>
      </w:r>
      <w:r w:rsidR="00D325AD" w:rsidRPr="00D84F41">
        <w:rPr>
          <w:rFonts w:ascii="Times New Roman" w:hAnsi="Times New Roman" w:cs="Times New Roman"/>
        </w:rPr>
        <w:t>they</w:t>
      </w:r>
      <w:r w:rsidR="00385C5D" w:rsidRPr="00D84F41">
        <w:rPr>
          <w:rFonts w:ascii="Times New Roman" w:hAnsi="Times New Roman" w:cs="Times New Roman"/>
        </w:rPr>
        <w:t xml:space="preserve"> went</w:t>
      </w:r>
      <w:r w:rsidR="009C6B3D" w:rsidRPr="00D84F41">
        <w:rPr>
          <w:rFonts w:ascii="Times New Roman" w:hAnsi="Times New Roman" w:cs="Times New Roman"/>
        </w:rPr>
        <w:t xml:space="preserve"> no further </w:t>
      </w:r>
      <w:r w:rsidR="00A33568" w:rsidRPr="00D84F41">
        <w:rPr>
          <w:rFonts w:ascii="Times New Roman" w:hAnsi="Times New Roman" w:cs="Times New Roman"/>
        </w:rPr>
        <w:t xml:space="preserve">than that </w:t>
      </w:r>
      <w:r w:rsidR="009C6B3D" w:rsidRPr="00D84F41">
        <w:rPr>
          <w:rFonts w:ascii="Times New Roman" w:hAnsi="Times New Roman" w:cs="Times New Roman"/>
        </w:rPr>
        <w:t>in pleading Iranian law</w:t>
      </w:r>
      <w:r w:rsidR="00B218B5" w:rsidRPr="00D84F41">
        <w:rPr>
          <w:rFonts w:ascii="Times New Roman" w:hAnsi="Times New Roman" w:cs="Times New Roman"/>
        </w:rPr>
        <w:t xml:space="preserve">; </w:t>
      </w:r>
    </w:p>
    <w:p w14:paraId="0BD818F8" w14:textId="77777777" w:rsidR="008968CB" w:rsidRPr="00D84F41" w:rsidRDefault="00B218B5" w:rsidP="008968CB">
      <w:pPr>
        <w:pStyle w:val="ListParagraph"/>
        <w:numPr>
          <w:ilvl w:val="1"/>
          <w:numId w:val="1"/>
        </w:numPr>
        <w:spacing w:line="360" w:lineRule="auto"/>
        <w:jc w:val="both"/>
        <w:rPr>
          <w:rFonts w:ascii="Times New Roman" w:hAnsi="Times New Roman" w:cs="Times New Roman"/>
        </w:rPr>
      </w:pPr>
      <w:r w:rsidRPr="00D84F41">
        <w:rPr>
          <w:rFonts w:ascii="Times New Roman" w:hAnsi="Times New Roman" w:cs="Times New Roman"/>
        </w:rPr>
        <w:t>s</w:t>
      </w:r>
      <w:r w:rsidR="00D740A2" w:rsidRPr="00D84F41">
        <w:rPr>
          <w:rFonts w:ascii="Times New Roman" w:hAnsi="Times New Roman" w:cs="Times New Roman"/>
        </w:rPr>
        <w:t>ubsequently</w:t>
      </w:r>
      <w:r w:rsidR="00DB0048" w:rsidRPr="00D84F41">
        <w:rPr>
          <w:rFonts w:ascii="Times New Roman" w:hAnsi="Times New Roman" w:cs="Times New Roman"/>
        </w:rPr>
        <w:t>,</w:t>
      </w:r>
      <w:r w:rsidR="00D740A2" w:rsidRPr="00D84F41">
        <w:rPr>
          <w:rFonts w:ascii="Times New Roman" w:hAnsi="Times New Roman" w:cs="Times New Roman"/>
        </w:rPr>
        <w:t xml:space="preserve"> and f</w:t>
      </w:r>
      <w:r w:rsidR="009C6B3D" w:rsidRPr="00D84F41">
        <w:rPr>
          <w:rFonts w:ascii="Times New Roman" w:hAnsi="Times New Roman" w:cs="Times New Roman"/>
        </w:rPr>
        <w:t xml:space="preserve">rom the first CMC, IOEC </w:t>
      </w:r>
      <w:r w:rsidR="00D325AD" w:rsidRPr="00D84F41">
        <w:rPr>
          <w:rFonts w:ascii="Times New Roman" w:hAnsi="Times New Roman" w:cs="Times New Roman"/>
        </w:rPr>
        <w:t xml:space="preserve">expressly stated that </w:t>
      </w:r>
      <w:r w:rsidR="009C6B3D" w:rsidRPr="00D84F41">
        <w:rPr>
          <w:rFonts w:ascii="Times New Roman" w:hAnsi="Times New Roman" w:cs="Times New Roman"/>
        </w:rPr>
        <w:t>it was relying upon the so-called “presumption”</w:t>
      </w:r>
      <w:r w:rsidRPr="00D84F41">
        <w:rPr>
          <w:rFonts w:ascii="Times New Roman" w:hAnsi="Times New Roman" w:cs="Times New Roman"/>
        </w:rPr>
        <w:t>;</w:t>
      </w:r>
      <w:r w:rsidR="009C6B3D" w:rsidRPr="00D84F41">
        <w:rPr>
          <w:rFonts w:ascii="Times New Roman" w:hAnsi="Times New Roman" w:cs="Times New Roman"/>
        </w:rPr>
        <w:t xml:space="preserve"> and </w:t>
      </w:r>
    </w:p>
    <w:p w14:paraId="7C428708" w14:textId="77777777" w:rsidR="009C6B3D" w:rsidRPr="00D84F41" w:rsidRDefault="008968CB" w:rsidP="008968CB">
      <w:pPr>
        <w:pStyle w:val="ListParagraph"/>
        <w:numPr>
          <w:ilvl w:val="1"/>
          <w:numId w:val="1"/>
        </w:numPr>
        <w:spacing w:line="360" w:lineRule="auto"/>
        <w:jc w:val="both"/>
        <w:rPr>
          <w:rFonts w:ascii="Times New Roman" w:hAnsi="Times New Roman" w:cs="Times New Roman"/>
        </w:rPr>
      </w:pPr>
      <w:r w:rsidRPr="00D84F41">
        <w:rPr>
          <w:rFonts w:ascii="Times New Roman" w:hAnsi="Times New Roman" w:cs="Times New Roman"/>
        </w:rPr>
        <w:t>none of the parties</w:t>
      </w:r>
      <w:r w:rsidR="009C6B3D" w:rsidRPr="00D84F41">
        <w:rPr>
          <w:rFonts w:ascii="Times New Roman" w:hAnsi="Times New Roman" w:cs="Times New Roman"/>
        </w:rPr>
        <w:t xml:space="preserve"> had </w:t>
      </w:r>
      <w:r w:rsidR="00D325AD" w:rsidRPr="00D84F41">
        <w:rPr>
          <w:rFonts w:ascii="Times New Roman" w:hAnsi="Times New Roman" w:cs="Times New Roman"/>
        </w:rPr>
        <w:t xml:space="preserve">ever </w:t>
      </w:r>
      <w:r w:rsidR="00A33568" w:rsidRPr="00D84F41">
        <w:rPr>
          <w:rFonts w:ascii="Times New Roman" w:hAnsi="Times New Roman" w:cs="Times New Roman"/>
        </w:rPr>
        <w:t xml:space="preserve">pleaded any actual provisions of Iranian law or </w:t>
      </w:r>
      <w:r w:rsidR="009C6B3D" w:rsidRPr="00D84F41">
        <w:rPr>
          <w:rFonts w:ascii="Times New Roman" w:hAnsi="Times New Roman" w:cs="Times New Roman"/>
        </w:rPr>
        <w:t xml:space="preserve">sought permission to adduce expert evidence on foreign law. </w:t>
      </w:r>
    </w:p>
    <w:p w14:paraId="1F432CCD" w14:textId="77777777" w:rsidR="009C6B3D" w:rsidRPr="00D84F41" w:rsidRDefault="009C6B3D" w:rsidP="008968CB">
      <w:pPr>
        <w:pStyle w:val="ListParagraph"/>
        <w:spacing w:line="360" w:lineRule="auto"/>
        <w:rPr>
          <w:rFonts w:ascii="Times New Roman" w:hAnsi="Times New Roman" w:cs="Times New Roman"/>
        </w:rPr>
      </w:pPr>
    </w:p>
    <w:p w14:paraId="6F1A87B7" w14:textId="77777777" w:rsidR="00EC09E6" w:rsidRPr="00D84F41" w:rsidRDefault="008968CB"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lastRenderedPageBreak/>
        <w:t>Considering the background of the case in a wider context – i.e., not limited to the facts of this case - t</w:t>
      </w:r>
      <w:r w:rsidR="00D740A2" w:rsidRPr="00D84F41">
        <w:rPr>
          <w:rFonts w:ascii="Times New Roman" w:hAnsi="Times New Roman" w:cs="Times New Roman"/>
        </w:rPr>
        <w:t>he</w:t>
      </w:r>
      <w:r w:rsidR="00D325AD" w:rsidRPr="00D84F41">
        <w:rPr>
          <w:rFonts w:ascii="Times New Roman" w:hAnsi="Times New Roman" w:cs="Times New Roman"/>
        </w:rPr>
        <w:t xml:space="preserve"> </w:t>
      </w:r>
      <w:r w:rsidR="00D740A2" w:rsidRPr="00D84F41">
        <w:rPr>
          <w:rFonts w:ascii="Times New Roman" w:hAnsi="Times New Roman" w:cs="Times New Roman"/>
        </w:rPr>
        <w:t xml:space="preserve">judgment </w:t>
      </w:r>
      <w:r w:rsidR="00B218B5" w:rsidRPr="00D84F41">
        <w:rPr>
          <w:rFonts w:ascii="Times New Roman" w:hAnsi="Times New Roman" w:cs="Times New Roman"/>
        </w:rPr>
        <w:t xml:space="preserve">shines a light on </w:t>
      </w:r>
      <w:r w:rsidR="00DB0048" w:rsidRPr="00D84F41">
        <w:rPr>
          <w:rFonts w:ascii="Times New Roman" w:hAnsi="Times New Roman" w:cs="Times New Roman"/>
        </w:rPr>
        <w:t>a</w:t>
      </w:r>
      <w:r w:rsidR="00B218B5" w:rsidRPr="00D84F41">
        <w:rPr>
          <w:rFonts w:ascii="Times New Roman" w:hAnsi="Times New Roman" w:cs="Times New Roman"/>
        </w:rPr>
        <w:t xml:space="preserve"> </w:t>
      </w:r>
      <w:r w:rsidR="00D325AD" w:rsidRPr="00D84F41">
        <w:rPr>
          <w:rFonts w:ascii="Times New Roman" w:hAnsi="Times New Roman" w:cs="Times New Roman"/>
        </w:rPr>
        <w:t xml:space="preserve">matter that </w:t>
      </w:r>
      <w:r w:rsidR="00C40E44" w:rsidRPr="00D84F41">
        <w:rPr>
          <w:rFonts w:ascii="Times New Roman" w:hAnsi="Times New Roman" w:cs="Times New Roman"/>
        </w:rPr>
        <w:t xml:space="preserve">often </w:t>
      </w:r>
      <w:r w:rsidR="00B218B5" w:rsidRPr="00D84F41">
        <w:rPr>
          <w:rFonts w:ascii="Times New Roman" w:hAnsi="Times New Roman" w:cs="Times New Roman"/>
        </w:rPr>
        <w:t xml:space="preserve">arises </w:t>
      </w:r>
      <w:r w:rsidR="00D325AD" w:rsidRPr="00D84F41">
        <w:rPr>
          <w:rFonts w:ascii="Times New Roman" w:hAnsi="Times New Roman" w:cs="Times New Roman"/>
        </w:rPr>
        <w:t>in the Commercial Court</w:t>
      </w:r>
      <w:r w:rsidR="00DB0048" w:rsidRPr="00D84F41">
        <w:rPr>
          <w:rFonts w:ascii="Times New Roman" w:hAnsi="Times New Roman" w:cs="Times New Roman"/>
        </w:rPr>
        <w:t xml:space="preserve"> and in practice</w:t>
      </w:r>
      <w:r w:rsidR="00D325AD" w:rsidRPr="00D84F41">
        <w:rPr>
          <w:rFonts w:ascii="Times New Roman" w:hAnsi="Times New Roman" w:cs="Times New Roman"/>
        </w:rPr>
        <w:t xml:space="preserve">, </w:t>
      </w:r>
      <w:r w:rsidR="00B218B5" w:rsidRPr="00D84F41">
        <w:rPr>
          <w:rFonts w:ascii="Times New Roman" w:hAnsi="Times New Roman" w:cs="Times New Roman"/>
        </w:rPr>
        <w:t xml:space="preserve">but which </w:t>
      </w:r>
      <w:r w:rsidR="00D325AD" w:rsidRPr="00D84F41">
        <w:rPr>
          <w:rFonts w:ascii="Times New Roman" w:hAnsi="Times New Roman" w:cs="Times New Roman"/>
        </w:rPr>
        <w:t>is rarely considered in any depth. P</w:t>
      </w:r>
      <w:r w:rsidR="00D740A2" w:rsidRPr="00D84F41">
        <w:rPr>
          <w:rFonts w:ascii="Times New Roman" w:hAnsi="Times New Roman" w:cs="Times New Roman"/>
        </w:rPr>
        <w:t xml:space="preserve">ractitioners </w:t>
      </w:r>
      <w:r w:rsidR="00AE0F14" w:rsidRPr="00D84F41">
        <w:rPr>
          <w:rFonts w:ascii="Times New Roman" w:hAnsi="Times New Roman" w:cs="Times New Roman"/>
        </w:rPr>
        <w:t xml:space="preserve">frequently </w:t>
      </w:r>
      <w:r w:rsidR="00D325AD" w:rsidRPr="00D84F41">
        <w:rPr>
          <w:rFonts w:ascii="Times New Roman" w:hAnsi="Times New Roman" w:cs="Times New Roman"/>
        </w:rPr>
        <w:t>have to consider at the pleading stage</w:t>
      </w:r>
      <w:r w:rsidR="00AE0F14" w:rsidRPr="00D84F41">
        <w:rPr>
          <w:rFonts w:ascii="Times New Roman" w:hAnsi="Times New Roman" w:cs="Times New Roman"/>
        </w:rPr>
        <w:t xml:space="preserve"> whether to positively plead and prove a foreign applicable law versus </w:t>
      </w:r>
      <w:r w:rsidR="00D325AD" w:rsidRPr="00D84F41">
        <w:rPr>
          <w:rFonts w:ascii="Times New Roman" w:hAnsi="Times New Roman" w:cs="Times New Roman"/>
        </w:rPr>
        <w:t>rely</w:t>
      </w:r>
      <w:r w:rsidR="00AE0F14" w:rsidRPr="00D84F41">
        <w:rPr>
          <w:rFonts w:ascii="Times New Roman" w:hAnsi="Times New Roman" w:cs="Times New Roman"/>
        </w:rPr>
        <w:t>ing</w:t>
      </w:r>
      <w:r w:rsidR="00D325AD" w:rsidRPr="00D84F41">
        <w:rPr>
          <w:rFonts w:ascii="Times New Roman" w:hAnsi="Times New Roman" w:cs="Times New Roman"/>
        </w:rPr>
        <w:t xml:space="preserve"> on the “presumption”. </w:t>
      </w:r>
      <w:r w:rsidR="00DF48DC" w:rsidRPr="00D84F41">
        <w:rPr>
          <w:rFonts w:ascii="Times New Roman" w:hAnsi="Times New Roman" w:cs="Times New Roman"/>
        </w:rPr>
        <w:t xml:space="preserve">Choosing to rely </w:t>
      </w:r>
      <w:r w:rsidR="00D325AD" w:rsidRPr="00D84F41">
        <w:rPr>
          <w:rFonts w:ascii="Times New Roman" w:hAnsi="Times New Roman" w:cs="Times New Roman"/>
        </w:rPr>
        <w:t>upon the “presumption” may be for a variety of reasons, for example</w:t>
      </w:r>
      <w:r w:rsidR="00AE0F14" w:rsidRPr="00D84F41">
        <w:rPr>
          <w:rFonts w:ascii="Times New Roman" w:hAnsi="Times New Roman" w:cs="Times New Roman"/>
        </w:rPr>
        <w:t>: (a)</w:t>
      </w:r>
      <w:r w:rsidR="00D325AD" w:rsidRPr="00D84F41">
        <w:rPr>
          <w:rFonts w:ascii="Times New Roman" w:hAnsi="Times New Roman" w:cs="Times New Roman"/>
        </w:rPr>
        <w:t xml:space="preserve"> </w:t>
      </w:r>
      <w:r w:rsidR="00AE0F14" w:rsidRPr="00D84F41">
        <w:rPr>
          <w:rFonts w:ascii="Times New Roman" w:hAnsi="Times New Roman" w:cs="Times New Roman"/>
        </w:rPr>
        <w:t xml:space="preserve">because </w:t>
      </w:r>
      <w:r w:rsidR="00D325AD" w:rsidRPr="00D84F41">
        <w:rPr>
          <w:rFonts w:ascii="Times New Roman" w:hAnsi="Times New Roman" w:cs="Times New Roman"/>
        </w:rPr>
        <w:t>the foreign law is disadvantageous</w:t>
      </w:r>
      <w:r w:rsidR="00AE0F14" w:rsidRPr="00D84F41">
        <w:rPr>
          <w:rFonts w:ascii="Times New Roman" w:hAnsi="Times New Roman" w:cs="Times New Roman"/>
        </w:rPr>
        <w:t>; (b)</w:t>
      </w:r>
      <w:r w:rsidR="00D325AD" w:rsidRPr="00D84F41">
        <w:rPr>
          <w:rFonts w:ascii="Times New Roman" w:hAnsi="Times New Roman" w:cs="Times New Roman"/>
        </w:rPr>
        <w:t xml:space="preserve"> to avoid the cost</w:t>
      </w:r>
      <w:r w:rsidR="00DF48DC" w:rsidRPr="00D84F41">
        <w:rPr>
          <w:rFonts w:ascii="Times New Roman" w:hAnsi="Times New Roman" w:cs="Times New Roman"/>
        </w:rPr>
        <w:t>s</w:t>
      </w:r>
      <w:r w:rsidR="00D325AD" w:rsidRPr="00D84F41">
        <w:rPr>
          <w:rFonts w:ascii="Times New Roman" w:hAnsi="Times New Roman" w:cs="Times New Roman"/>
        </w:rPr>
        <w:t xml:space="preserve"> of researching and proving </w:t>
      </w:r>
      <w:r w:rsidR="00AE0F14" w:rsidRPr="00D84F41">
        <w:rPr>
          <w:rFonts w:ascii="Times New Roman" w:hAnsi="Times New Roman" w:cs="Times New Roman"/>
        </w:rPr>
        <w:t xml:space="preserve">the </w:t>
      </w:r>
      <w:r w:rsidR="00D325AD" w:rsidRPr="00D84F41">
        <w:rPr>
          <w:rFonts w:ascii="Times New Roman" w:hAnsi="Times New Roman" w:cs="Times New Roman"/>
        </w:rPr>
        <w:t>foreign law</w:t>
      </w:r>
      <w:r w:rsidR="00AE0F14" w:rsidRPr="00D84F41">
        <w:rPr>
          <w:rFonts w:ascii="Times New Roman" w:hAnsi="Times New Roman" w:cs="Times New Roman"/>
        </w:rPr>
        <w:t xml:space="preserve">; </w:t>
      </w:r>
      <w:r w:rsidR="00DF48DC" w:rsidRPr="00D84F41">
        <w:rPr>
          <w:rFonts w:ascii="Times New Roman" w:hAnsi="Times New Roman" w:cs="Times New Roman"/>
        </w:rPr>
        <w:t>and/</w:t>
      </w:r>
      <w:r w:rsidR="00AE0F14" w:rsidRPr="00D84F41">
        <w:rPr>
          <w:rFonts w:ascii="Times New Roman" w:hAnsi="Times New Roman" w:cs="Times New Roman"/>
        </w:rPr>
        <w:t>or (c)</w:t>
      </w:r>
      <w:r w:rsidR="00D325AD" w:rsidRPr="00D84F41">
        <w:rPr>
          <w:rFonts w:ascii="Times New Roman" w:hAnsi="Times New Roman" w:cs="Times New Roman"/>
        </w:rPr>
        <w:t xml:space="preserve"> because </w:t>
      </w:r>
      <w:r w:rsidR="00AE0F14" w:rsidRPr="00D84F41">
        <w:rPr>
          <w:rFonts w:ascii="Times New Roman" w:hAnsi="Times New Roman" w:cs="Times New Roman"/>
        </w:rPr>
        <w:t xml:space="preserve">the </w:t>
      </w:r>
      <w:r w:rsidR="00D325AD" w:rsidRPr="00D84F41">
        <w:rPr>
          <w:rFonts w:ascii="Times New Roman" w:hAnsi="Times New Roman" w:cs="Times New Roman"/>
        </w:rPr>
        <w:t>fo</w:t>
      </w:r>
      <w:r w:rsidR="00AE0F14" w:rsidRPr="00D84F41">
        <w:rPr>
          <w:rFonts w:ascii="Times New Roman" w:hAnsi="Times New Roman" w:cs="Times New Roman"/>
        </w:rPr>
        <w:t xml:space="preserve">reign law is very similar to English law. </w:t>
      </w:r>
    </w:p>
    <w:p w14:paraId="67D5701D" w14:textId="77777777" w:rsidR="00AE0F14" w:rsidRPr="00D84F41" w:rsidRDefault="00AE0F14" w:rsidP="008968CB">
      <w:pPr>
        <w:pStyle w:val="ListParagraph"/>
        <w:spacing w:line="360" w:lineRule="auto"/>
        <w:rPr>
          <w:rFonts w:ascii="Times New Roman" w:hAnsi="Times New Roman" w:cs="Times New Roman"/>
        </w:rPr>
      </w:pPr>
    </w:p>
    <w:p w14:paraId="023AF376" w14:textId="77777777" w:rsidR="00AE0F14" w:rsidRPr="00D84F41" w:rsidRDefault="00AE0F14"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If the defendant refuses to accept the “presumption”, then the defendant may plead and prove what it asserts to be the applicable foreign law. The claimant will then, in the ordinary course, apply to amend its claim so as to address the foreign law either as its primary or alternative case. </w:t>
      </w:r>
      <w:r w:rsidR="00DF48DC" w:rsidRPr="00D84F41">
        <w:rPr>
          <w:rFonts w:ascii="Times New Roman" w:hAnsi="Times New Roman" w:cs="Times New Roman"/>
        </w:rPr>
        <w:t>On the contrary, i</w:t>
      </w:r>
      <w:r w:rsidR="00562AF5" w:rsidRPr="00D84F41">
        <w:rPr>
          <w:rFonts w:ascii="Times New Roman" w:hAnsi="Times New Roman" w:cs="Times New Roman"/>
        </w:rPr>
        <w:t xml:space="preserve">f the defendant does not plead and seek to prove any foreign law, practitioners might have assumed that there </w:t>
      </w:r>
      <w:r w:rsidR="001F52FB" w:rsidRPr="00D84F41">
        <w:rPr>
          <w:rFonts w:ascii="Times New Roman" w:hAnsi="Times New Roman" w:cs="Times New Roman"/>
        </w:rPr>
        <w:t>wa</w:t>
      </w:r>
      <w:r w:rsidR="00562AF5" w:rsidRPr="00D84F41">
        <w:rPr>
          <w:rFonts w:ascii="Times New Roman" w:hAnsi="Times New Roman" w:cs="Times New Roman"/>
        </w:rPr>
        <w:t>s no issue regarding the applicable law and th</w:t>
      </w:r>
      <w:r w:rsidR="001F52FB" w:rsidRPr="00D84F41">
        <w:rPr>
          <w:rFonts w:ascii="Times New Roman" w:hAnsi="Times New Roman" w:cs="Times New Roman"/>
        </w:rPr>
        <w:t>at the</w:t>
      </w:r>
      <w:r w:rsidR="00562AF5" w:rsidRPr="00D84F41">
        <w:rPr>
          <w:rFonts w:ascii="Times New Roman" w:hAnsi="Times New Roman" w:cs="Times New Roman"/>
        </w:rPr>
        <w:t xml:space="preserve"> matter </w:t>
      </w:r>
      <w:r w:rsidR="001F52FB" w:rsidRPr="00D84F41">
        <w:rPr>
          <w:rFonts w:ascii="Times New Roman" w:hAnsi="Times New Roman" w:cs="Times New Roman"/>
        </w:rPr>
        <w:t xml:space="preserve">would </w:t>
      </w:r>
      <w:r w:rsidR="00562AF5" w:rsidRPr="00D84F41">
        <w:rPr>
          <w:rFonts w:ascii="Times New Roman" w:hAnsi="Times New Roman" w:cs="Times New Roman"/>
        </w:rPr>
        <w:t>proceed on the basis that English law applie</w:t>
      </w:r>
      <w:r w:rsidR="001F52FB" w:rsidRPr="00D84F41">
        <w:rPr>
          <w:rFonts w:ascii="Times New Roman" w:hAnsi="Times New Roman" w:cs="Times New Roman"/>
        </w:rPr>
        <w:t>d</w:t>
      </w:r>
      <w:r w:rsidR="00562AF5" w:rsidRPr="00D84F41">
        <w:rPr>
          <w:rFonts w:ascii="Times New Roman" w:hAnsi="Times New Roman" w:cs="Times New Roman"/>
        </w:rPr>
        <w:t xml:space="preserve">. </w:t>
      </w:r>
    </w:p>
    <w:p w14:paraId="2A9AB110" w14:textId="77777777" w:rsidR="00AE0F14" w:rsidRPr="00D84F41" w:rsidRDefault="00AE0F14" w:rsidP="008968CB">
      <w:pPr>
        <w:pStyle w:val="ListParagraph"/>
        <w:spacing w:line="360" w:lineRule="auto"/>
        <w:rPr>
          <w:rFonts w:ascii="Times New Roman" w:hAnsi="Times New Roman" w:cs="Times New Roman"/>
        </w:rPr>
      </w:pPr>
    </w:p>
    <w:p w14:paraId="01C7E203" w14:textId="47571592" w:rsidR="008B0297" w:rsidRPr="00D84F41" w:rsidRDefault="001F52FB" w:rsidP="00D84F41">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I</w:t>
      </w:r>
      <w:r w:rsidR="00AE0F14" w:rsidRPr="00D84F41">
        <w:rPr>
          <w:rFonts w:ascii="Times New Roman" w:hAnsi="Times New Roman" w:cs="Times New Roman"/>
        </w:rPr>
        <w:t>n the present case</w:t>
      </w:r>
      <w:r w:rsidRPr="00D84F41">
        <w:rPr>
          <w:rFonts w:ascii="Times New Roman" w:hAnsi="Times New Roman" w:cs="Times New Roman"/>
        </w:rPr>
        <w:t>,</w:t>
      </w:r>
      <w:r w:rsidR="00AE0F14" w:rsidRPr="00D84F41">
        <w:rPr>
          <w:rFonts w:ascii="Times New Roman" w:hAnsi="Times New Roman" w:cs="Times New Roman"/>
        </w:rPr>
        <w:t xml:space="preserve"> D5/D6 did not expressly plead or seek to prove the foreign law (which IOEC accepted was the applicable law </w:t>
      </w:r>
      <w:r w:rsidR="00A33568" w:rsidRPr="00D84F41">
        <w:rPr>
          <w:rFonts w:ascii="Times New Roman" w:hAnsi="Times New Roman" w:cs="Times New Roman"/>
        </w:rPr>
        <w:t xml:space="preserve">in respect of </w:t>
      </w:r>
      <w:r w:rsidR="00AE0F14" w:rsidRPr="00D84F41">
        <w:rPr>
          <w:rFonts w:ascii="Times New Roman" w:hAnsi="Times New Roman" w:cs="Times New Roman"/>
        </w:rPr>
        <w:t xml:space="preserve">certain aspects of the claim). Instead, they </w:t>
      </w:r>
      <w:r w:rsidR="00562AF5" w:rsidRPr="00D84F41">
        <w:rPr>
          <w:rFonts w:ascii="Times New Roman" w:hAnsi="Times New Roman" w:cs="Times New Roman"/>
        </w:rPr>
        <w:t>intended</w:t>
      </w:r>
      <w:r w:rsidR="00AE0F14" w:rsidRPr="00D84F41">
        <w:rPr>
          <w:rFonts w:ascii="Times New Roman" w:hAnsi="Times New Roman" w:cs="Times New Roman"/>
        </w:rPr>
        <w:t xml:space="preserve"> to raise as an issue at trial that English law should not be applied pursuant to the “presumption”</w:t>
      </w:r>
      <w:r w:rsidR="009A6022" w:rsidRPr="00D84F41">
        <w:rPr>
          <w:rFonts w:ascii="Times New Roman" w:hAnsi="Times New Roman" w:cs="Times New Roman"/>
        </w:rPr>
        <w:t xml:space="preserve">. The aim being to defeat IOEC’s claims on the </w:t>
      </w:r>
      <w:r w:rsidR="00DF48DC" w:rsidRPr="00D84F41">
        <w:rPr>
          <w:rFonts w:ascii="Times New Roman" w:hAnsi="Times New Roman" w:cs="Times New Roman"/>
        </w:rPr>
        <w:t xml:space="preserve">somewhat technical </w:t>
      </w:r>
      <w:r w:rsidR="009A6022" w:rsidRPr="00D84F41">
        <w:rPr>
          <w:rFonts w:ascii="Times New Roman" w:hAnsi="Times New Roman" w:cs="Times New Roman"/>
        </w:rPr>
        <w:t xml:space="preserve">basis that </w:t>
      </w:r>
      <w:r w:rsidR="00275738" w:rsidRPr="00D84F41">
        <w:rPr>
          <w:rFonts w:ascii="Times New Roman" w:hAnsi="Times New Roman" w:cs="Times New Roman"/>
        </w:rPr>
        <w:t>Iranian law governed certain claims</w:t>
      </w:r>
      <w:r w:rsidRPr="00D84F41">
        <w:rPr>
          <w:rFonts w:ascii="Times New Roman" w:hAnsi="Times New Roman" w:cs="Times New Roman"/>
        </w:rPr>
        <w:t>;</w:t>
      </w:r>
      <w:r w:rsidR="00275738" w:rsidRPr="00D84F41">
        <w:rPr>
          <w:rFonts w:ascii="Times New Roman" w:hAnsi="Times New Roman" w:cs="Times New Roman"/>
        </w:rPr>
        <w:t xml:space="preserve"> it</w:t>
      </w:r>
      <w:r w:rsidRPr="00D84F41">
        <w:rPr>
          <w:rFonts w:ascii="Times New Roman" w:hAnsi="Times New Roman" w:cs="Times New Roman"/>
        </w:rPr>
        <w:t xml:space="preserve"> would be</w:t>
      </w:r>
      <w:r w:rsidR="00275738" w:rsidRPr="00D84F41">
        <w:rPr>
          <w:rFonts w:ascii="Times New Roman" w:hAnsi="Times New Roman" w:cs="Times New Roman"/>
        </w:rPr>
        <w:t xml:space="preserve"> inappropriate to apply English law by default</w:t>
      </w:r>
      <w:r w:rsidRPr="00D84F41">
        <w:rPr>
          <w:rFonts w:ascii="Times New Roman" w:hAnsi="Times New Roman" w:cs="Times New Roman"/>
        </w:rPr>
        <w:t>;</w:t>
      </w:r>
      <w:r w:rsidR="00275738" w:rsidRPr="00D84F41">
        <w:rPr>
          <w:rFonts w:ascii="Times New Roman" w:hAnsi="Times New Roman" w:cs="Times New Roman"/>
        </w:rPr>
        <w:t xml:space="preserve"> it </w:t>
      </w:r>
      <w:r w:rsidRPr="00D84F41">
        <w:rPr>
          <w:rFonts w:ascii="Times New Roman" w:hAnsi="Times New Roman" w:cs="Times New Roman"/>
        </w:rPr>
        <w:t>wa</w:t>
      </w:r>
      <w:r w:rsidR="00275738" w:rsidRPr="00D84F41">
        <w:rPr>
          <w:rFonts w:ascii="Times New Roman" w:hAnsi="Times New Roman" w:cs="Times New Roman"/>
        </w:rPr>
        <w:t xml:space="preserve">s for </w:t>
      </w:r>
      <w:r w:rsidRPr="00D84F41">
        <w:rPr>
          <w:rFonts w:ascii="Times New Roman" w:hAnsi="Times New Roman" w:cs="Times New Roman"/>
        </w:rPr>
        <w:t xml:space="preserve">IOEC </w:t>
      </w:r>
      <w:r w:rsidR="00275738" w:rsidRPr="00D84F41">
        <w:rPr>
          <w:rFonts w:ascii="Times New Roman" w:hAnsi="Times New Roman" w:cs="Times New Roman"/>
        </w:rPr>
        <w:t>to plead and prove the principles of Iranian law that govern</w:t>
      </w:r>
      <w:r w:rsidRPr="00D84F41">
        <w:rPr>
          <w:rFonts w:ascii="Times New Roman" w:hAnsi="Times New Roman" w:cs="Times New Roman"/>
        </w:rPr>
        <w:t>ed</w:t>
      </w:r>
      <w:r w:rsidR="00275738" w:rsidRPr="00D84F41">
        <w:rPr>
          <w:rFonts w:ascii="Times New Roman" w:hAnsi="Times New Roman" w:cs="Times New Roman"/>
        </w:rPr>
        <w:t xml:space="preserve"> its claims</w:t>
      </w:r>
      <w:r w:rsidRPr="00D84F41">
        <w:rPr>
          <w:rFonts w:ascii="Times New Roman" w:hAnsi="Times New Roman" w:cs="Times New Roman"/>
        </w:rPr>
        <w:t>;</w:t>
      </w:r>
      <w:r w:rsidR="00275738" w:rsidRPr="00D84F41">
        <w:rPr>
          <w:rFonts w:ascii="Times New Roman" w:hAnsi="Times New Roman" w:cs="Times New Roman"/>
        </w:rPr>
        <w:t xml:space="preserve"> and </w:t>
      </w:r>
      <w:r w:rsidRPr="00D84F41">
        <w:rPr>
          <w:rFonts w:ascii="Times New Roman" w:hAnsi="Times New Roman" w:cs="Times New Roman"/>
        </w:rPr>
        <w:t xml:space="preserve">IOEC </w:t>
      </w:r>
      <w:r w:rsidR="00275738" w:rsidRPr="00D84F41">
        <w:rPr>
          <w:rFonts w:ascii="Times New Roman" w:hAnsi="Times New Roman" w:cs="Times New Roman"/>
        </w:rPr>
        <w:t>ha</w:t>
      </w:r>
      <w:r w:rsidRPr="00D84F41">
        <w:rPr>
          <w:rFonts w:ascii="Times New Roman" w:hAnsi="Times New Roman" w:cs="Times New Roman"/>
        </w:rPr>
        <w:t xml:space="preserve">d </w:t>
      </w:r>
      <w:r w:rsidR="00275738" w:rsidRPr="00D84F41">
        <w:rPr>
          <w:rFonts w:ascii="Times New Roman" w:hAnsi="Times New Roman" w:cs="Times New Roman"/>
        </w:rPr>
        <w:t xml:space="preserve">not sought to do that, so its claims </w:t>
      </w:r>
      <w:r w:rsidRPr="00D84F41">
        <w:rPr>
          <w:rFonts w:ascii="Times New Roman" w:hAnsi="Times New Roman" w:cs="Times New Roman"/>
        </w:rPr>
        <w:t xml:space="preserve">would </w:t>
      </w:r>
      <w:r w:rsidR="00275738" w:rsidRPr="00D84F41">
        <w:rPr>
          <w:rFonts w:ascii="Times New Roman" w:hAnsi="Times New Roman" w:cs="Times New Roman"/>
        </w:rPr>
        <w:t>fail</w:t>
      </w:r>
      <w:r w:rsidR="009A6022" w:rsidRPr="00D84F41">
        <w:rPr>
          <w:rFonts w:ascii="Times New Roman" w:hAnsi="Times New Roman" w:cs="Times New Roman"/>
        </w:rPr>
        <w:t>.</w:t>
      </w:r>
      <w:r w:rsidR="00F4268E" w:rsidRPr="00D84F41">
        <w:rPr>
          <w:rFonts w:ascii="Times New Roman" w:hAnsi="Times New Roman" w:cs="Times New Roman"/>
        </w:rPr>
        <w:t xml:space="preserve"> </w:t>
      </w:r>
      <w:r w:rsidR="003137CE">
        <w:rPr>
          <w:rFonts w:ascii="Times New Roman" w:hAnsi="Times New Roman" w:cs="Times New Roman"/>
        </w:rPr>
        <w:t xml:space="preserve"> </w:t>
      </w:r>
      <w:r w:rsidR="00A33568" w:rsidRPr="00D84F41">
        <w:rPr>
          <w:rFonts w:ascii="Times New Roman" w:hAnsi="Times New Roman" w:cs="Times New Roman"/>
        </w:rPr>
        <w:t>D5/D6 relied in particular on two authorities</w:t>
      </w:r>
      <w:r w:rsidR="00F92BBB">
        <w:rPr>
          <w:rFonts w:ascii="Times New Roman" w:hAnsi="Times New Roman" w:cs="Times New Roman"/>
        </w:rPr>
        <w:t>, namely</w:t>
      </w:r>
      <w:r w:rsidR="008B0297" w:rsidRPr="00D84F41">
        <w:rPr>
          <w:rFonts w:ascii="Times New Roman" w:hAnsi="Times New Roman" w:cs="Times New Roman"/>
        </w:rPr>
        <w:t xml:space="preserve"> </w:t>
      </w:r>
      <w:proofErr w:type="spellStart"/>
      <w:r w:rsidR="008B0297" w:rsidRPr="00D84F41">
        <w:rPr>
          <w:rFonts w:ascii="Times New Roman" w:hAnsi="Times New Roman" w:cs="Times New Roman"/>
          <w:i/>
          <w:iCs/>
        </w:rPr>
        <w:t>Belhaj</w:t>
      </w:r>
      <w:proofErr w:type="spellEnd"/>
      <w:r w:rsidR="008B0297" w:rsidRPr="00D84F41">
        <w:rPr>
          <w:rFonts w:ascii="Times New Roman" w:hAnsi="Times New Roman" w:cs="Times New Roman"/>
          <w:i/>
          <w:iCs/>
        </w:rPr>
        <w:t xml:space="preserve"> v Straw </w:t>
      </w:r>
      <w:r w:rsidR="008B0297" w:rsidRPr="00D84F41">
        <w:rPr>
          <w:rFonts w:ascii="Times New Roman" w:hAnsi="Times New Roman" w:cs="Times New Roman"/>
          <w:iCs/>
        </w:rPr>
        <w:t>[2013] EWHC 4111 (QB); [2017] AC 964 and</w:t>
      </w:r>
      <w:r w:rsidR="008B0297" w:rsidRPr="00D84F41">
        <w:rPr>
          <w:rFonts w:ascii="Times New Roman" w:hAnsi="Times New Roman" w:cs="Times New Roman"/>
        </w:rPr>
        <w:t xml:space="preserve"> </w:t>
      </w:r>
      <w:r w:rsidR="008B0297" w:rsidRPr="00D84F41">
        <w:rPr>
          <w:rFonts w:ascii="Times New Roman" w:hAnsi="Times New Roman" w:cs="Times New Roman"/>
          <w:i/>
          <w:iCs/>
        </w:rPr>
        <w:t xml:space="preserve">Global Multimedia International Ltd v Ara Media Services </w:t>
      </w:r>
      <w:r w:rsidR="008B0297" w:rsidRPr="00D84F41">
        <w:rPr>
          <w:rFonts w:ascii="Times New Roman" w:hAnsi="Times New Roman" w:cs="Times New Roman"/>
          <w:iCs/>
        </w:rPr>
        <w:t>[2007] 1 All ER (</w:t>
      </w:r>
      <w:proofErr w:type="spellStart"/>
      <w:r w:rsidR="008B0297" w:rsidRPr="00D84F41">
        <w:rPr>
          <w:rFonts w:ascii="Times New Roman" w:hAnsi="Times New Roman" w:cs="Times New Roman"/>
          <w:iCs/>
        </w:rPr>
        <w:t>Comm</w:t>
      </w:r>
      <w:proofErr w:type="spellEnd"/>
      <w:r w:rsidR="008B0297" w:rsidRPr="00D84F41">
        <w:rPr>
          <w:rFonts w:ascii="Times New Roman" w:hAnsi="Times New Roman" w:cs="Times New Roman"/>
          <w:iCs/>
        </w:rPr>
        <w:t>) 1160.</w:t>
      </w:r>
    </w:p>
    <w:p w14:paraId="67462CB5" w14:textId="77777777" w:rsidR="00A33568" w:rsidRPr="00D84F41" w:rsidRDefault="00A33568" w:rsidP="00D84F41">
      <w:pPr>
        <w:rPr>
          <w:rFonts w:ascii="Times New Roman" w:hAnsi="Times New Roman" w:cs="Times New Roman"/>
        </w:rPr>
      </w:pPr>
    </w:p>
    <w:p w14:paraId="0A2E0781" w14:textId="48CB6386" w:rsidR="00AE0F14" w:rsidRPr="00D84F41" w:rsidRDefault="00DF48DC"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Faced with this p</w:t>
      </w:r>
      <w:r w:rsidR="00A33568" w:rsidRPr="00D84F41">
        <w:rPr>
          <w:rFonts w:ascii="Times New Roman" w:hAnsi="Times New Roman" w:cs="Times New Roman"/>
        </w:rPr>
        <w:t xml:space="preserve">osition </w:t>
      </w:r>
      <w:r w:rsidR="001F52FB" w:rsidRPr="00D84F41">
        <w:rPr>
          <w:rFonts w:ascii="Times New Roman" w:hAnsi="Times New Roman" w:cs="Times New Roman"/>
        </w:rPr>
        <w:t xml:space="preserve">and given the </w:t>
      </w:r>
      <w:r w:rsidRPr="00D84F41">
        <w:rPr>
          <w:rFonts w:ascii="Times New Roman" w:hAnsi="Times New Roman" w:cs="Times New Roman"/>
        </w:rPr>
        <w:t xml:space="preserve">advanced stage of the proceedings, </w:t>
      </w:r>
      <w:r w:rsidR="00F4268E" w:rsidRPr="00D84F41">
        <w:rPr>
          <w:rFonts w:ascii="Times New Roman" w:hAnsi="Times New Roman" w:cs="Times New Roman"/>
        </w:rPr>
        <w:t xml:space="preserve">IOEC </w:t>
      </w:r>
      <w:r w:rsidR="00A33568" w:rsidRPr="00D84F41">
        <w:rPr>
          <w:rFonts w:ascii="Times New Roman" w:hAnsi="Times New Roman" w:cs="Times New Roman"/>
        </w:rPr>
        <w:t xml:space="preserve">(represented by Graham Dunning QC, Jern-Fei Ng QC and Adam Woolnough of ECC) </w:t>
      </w:r>
      <w:r w:rsidR="00F4268E" w:rsidRPr="00D84F41">
        <w:rPr>
          <w:rFonts w:ascii="Times New Roman" w:hAnsi="Times New Roman" w:cs="Times New Roman"/>
        </w:rPr>
        <w:t>sought a</w:t>
      </w:r>
      <w:r w:rsidR="00A33568" w:rsidRPr="00D84F41">
        <w:rPr>
          <w:rFonts w:ascii="Times New Roman" w:hAnsi="Times New Roman" w:cs="Times New Roman"/>
        </w:rPr>
        <w:t xml:space="preserve"> ruling in advance of the trial </w:t>
      </w:r>
      <w:r w:rsidR="00F4268E" w:rsidRPr="00D84F41">
        <w:rPr>
          <w:rFonts w:ascii="Times New Roman" w:hAnsi="Times New Roman" w:cs="Times New Roman"/>
        </w:rPr>
        <w:t xml:space="preserve">to confirm that the “presumption” would apply at trial. </w:t>
      </w:r>
      <w:r w:rsidR="009A6022" w:rsidRPr="00D84F41">
        <w:rPr>
          <w:rFonts w:ascii="Times New Roman" w:hAnsi="Times New Roman" w:cs="Times New Roman"/>
        </w:rPr>
        <w:t xml:space="preserve"> </w:t>
      </w:r>
    </w:p>
    <w:p w14:paraId="22E29AFC" w14:textId="77777777" w:rsidR="00770290" w:rsidRPr="00D84F41" w:rsidRDefault="00770290" w:rsidP="008968CB">
      <w:pPr>
        <w:spacing w:line="360" w:lineRule="auto"/>
        <w:ind w:left="360"/>
        <w:rPr>
          <w:rFonts w:ascii="Times New Roman" w:hAnsi="Times New Roman" w:cs="Times New Roman"/>
          <w:u w:val="single"/>
        </w:rPr>
      </w:pPr>
    </w:p>
    <w:p w14:paraId="6A607515" w14:textId="77777777" w:rsidR="00770290" w:rsidRPr="00D84F41" w:rsidRDefault="00770290" w:rsidP="008968CB">
      <w:pPr>
        <w:spacing w:line="360" w:lineRule="auto"/>
        <w:ind w:left="360"/>
        <w:rPr>
          <w:rFonts w:ascii="Times New Roman" w:hAnsi="Times New Roman" w:cs="Times New Roman"/>
          <w:u w:val="single"/>
        </w:rPr>
      </w:pPr>
      <w:r w:rsidRPr="00D84F41">
        <w:rPr>
          <w:rFonts w:ascii="Times New Roman" w:hAnsi="Times New Roman" w:cs="Times New Roman"/>
          <w:u w:val="single"/>
        </w:rPr>
        <w:t>Judgment</w:t>
      </w:r>
    </w:p>
    <w:p w14:paraId="1178A809" w14:textId="77777777" w:rsidR="00770290" w:rsidRPr="00D84F41" w:rsidRDefault="00770290" w:rsidP="008968CB">
      <w:pPr>
        <w:pStyle w:val="ListParagraph"/>
        <w:spacing w:line="360" w:lineRule="auto"/>
        <w:rPr>
          <w:rFonts w:ascii="Times New Roman" w:hAnsi="Times New Roman" w:cs="Times New Roman"/>
          <w:u w:val="single"/>
        </w:rPr>
      </w:pPr>
    </w:p>
    <w:p w14:paraId="5CD308FB" w14:textId="77777777" w:rsidR="002E11B9" w:rsidRPr="00D84F41" w:rsidRDefault="00F4268E"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Baker J held </w:t>
      </w:r>
      <w:r w:rsidR="00770290" w:rsidRPr="00D84F41">
        <w:rPr>
          <w:rFonts w:ascii="Times New Roman" w:hAnsi="Times New Roman" w:cs="Times New Roman"/>
        </w:rPr>
        <w:t>for IOEC</w:t>
      </w:r>
      <w:r w:rsidR="001F52FB" w:rsidRPr="00D84F41">
        <w:rPr>
          <w:rFonts w:ascii="Times New Roman" w:hAnsi="Times New Roman" w:cs="Times New Roman"/>
        </w:rPr>
        <w:t>.</w:t>
      </w:r>
      <w:r w:rsidR="002E11B9" w:rsidRPr="00D84F41">
        <w:rPr>
          <w:rFonts w:ascii="Times New Roman" w:hAnsi="Times New Roman" w:cs="Times New Roman"/>
        </w:rPr>
        <w:t> </w:t>
      </w:r>
      <w:r w:rsidR="001F52FB" w:rsidRPr="00D84F41">
        <w:rPr>
          <w:rFonts w:ascii="Times New Roman" w:hAnsi="Times New Roman" w:cs="Times New Roman"/>
        </w:rPr>
        <w:t>I</w:t>
      </w:r>
      <w:r w:rsidR="002E11B9" w:rsidRPr="00D84F41">
        <w:rPr>
          <w:rFonts w:ascii="Times New Roman" w:hAnsi="Times New Roman" w:cs="Times New Roman"/>
        </w:rPr>
        <w:t xml:space="preserve">t was not necessary for a claimant to plead the existence of, or an intention to rely at trial upon, the rule of English law that, in the absence of satisfactory evidence of foreign law, the court would apply English law to a case to which foreign law applied. </w:t>
      </w:r>
      <w:r w:rsidR="00DB1723" w:rsidRPr="00D84F41">
        <w:rPr>
          <w:rFonts w:ascii="Times New Roman" w:hAnsi="Times New Roman" w:cs="Times New Roman"/>
        </w:rPr>
        <w:t xml:space="preserve">He held that it goes without saying that it will apply -otherwise it would not be the default rule that it is - unless reason not to apply it be demonstrated. </w:t>
      </w:r>
      <w:r w:rsidR="002E11B9" w:rsidRPr="00D84F41">
        <w:rPr>
          <w:rFonts w:ascii="Times New Roman" w:hAnsi="Times New Roman" w:cs="Times New Roman"/>
        </w:rPr>
        <w:t>He therefore concluded that subject to any successful application by the defendants to amend the pleadings for trial, English law would be applied to the case at trial.</w:t>
      </w:r>
    </w:p>
    <w:p w14:paraId="270C695D" w14:textId="77777777" w:rsidR="002E11B9" w:rsidRPr="00D84F41" w:rsidRDefault="002E11B9" w:rsidP="008968CB">
      <w:pPr>
        <w:spacing w:line="360" w:lineRule="auto"/>
        <w:ind w:left="360"/>
        <w:jc w:val="both"/>
        <w:rPr>
          <w:rFonts w:ascii="Times New Roman" w:hAnsi="Times New Roman" w:cs="Times New Roman"/>
        </w:rPr>
      </w:pPr>
    </w:p>
    <w:p w14:paraId="2232E902" w14:textId="77777777" w:rsidR="00DB1723" w:rsidRPr="00D84F41" w:rsidRDefault="00DB1723"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The Judge noted that a claimant might of necessity plead some matter of foreign law if without the plea it would not have a cause of action. A claimant might also choose to base its claim upon a foreign law. But where the claimant neither needs nor chooses to plead foreign law in order to plead a viable cause of action, it is</w:t>
      </w:r>
      <w:r w:rsidR="001F52FB" w:rsidRPr="00D84F41">
        <w:rPr>
          <w:rFonts w:ascii="Times New Roman" w:hAnsi="Times New Roman" w:cs="Times New Roman"/>
        </w:rPr>
        <w:t xml:space="preserve"> not required to do s</w:t>
      </w:r>
      <w:r w:rsidRPr="00D84F41">
        <w:rPr>
          <w:rFonts w:ascii="Times New Roman" w:hAnsi="Times New Roman" w:cs="Times New Roman"/>
        </w:rPr>
        <w:t xml:space="preserve">o. </w:t>
      </w:r>
    </w:p>
    <w:p w14:paraId="1621AB80" w14:textId="77777777" w:rsidR="00DB1723" w:rsidRPr="00D84F41" w:rsidRDefault="00DB1723" w:rsidP="008968CB">
      <w:pPr>
        <w:pStyle w:val="ListParagraph"/>
        <w:spacing w:line="360" w:lineRule="auto"/>
        <w:rPr>
          <w:rFonts w:ascii="Times New Roman" w:hAnsi="Times New Roman" w:cs="Times New Roman"/>
        </w:rPr>
      </w:pPr>
    </w:p>
    <w:p w14:paraId="24BD02B3" w14:textId="72E36012" w:rsidR="002E11B9" w:rsidRPr="00D84F41" w:rsidRDefault="00DB1723"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A </w:t>
      </w:r>
      <w:r w:rsidR="002E11B9" w:rsidRPr="00D84F41">
        <w:rPr>
          <w:rFonts w:ascii="Times New Roman" w:hAnsi="Times New Roman" w:cs="Times New Roman"/>
        </w:rPr>
        <w:t xml:space="preserve">contention that it was inappropriate to determine the claim by reference to English law, so that it would fail come what might, was a reasoned denial of liability. If a defendant therefore wished to contend at trial that the </w:t>
      </w:r>
      <w:r w:rsidR="001F52FB" w:rsidRPr="00D84F41">
        <w:rPr>
          <w:rFonts w:ascii="Times New Roman" w:hAnsi="Times New Roman" w:cs="Times New Roman"/>
        </w:rPr>
        <w:t xml:space="preserve">default </w:t>
      </w:r>
      <w:r w:rsidR="002E11B9" w:rsidRPr="00D84F41">
        <w:rPr>
          <w:rFonts w:ascii="Times New Roman" w:hAnsi="Times New Roman" w:cs="Times New Roman"/>
        </w:rPr>
        <w:t xml:space="preserve">rule did not apply, it was for the defendant to plead that as a reasoned denial of liability, setting out the matters particular to the claim said to render it inappropriate to judge it by reference to English law, which could, but would not necessarily, include relevant propositions of foreign law. If the defendant did not do so, then no such contention would be open to it at trial, unless it could make a late amendment or obtain an indulgence at trial to rely on an </w:t>
      </w:r>
      <w:proofErr w:type="spellStart"/>
      <w:r w:rsidR="002E11B9" w:rsidRPr="00D84F41">
        <w:rPr>
          <w:rFonts w:ascii="Times New Roman" w:hAnsi="Times New Roman" w:cs="Times New Roman"/>
        </w:rPr>
        <w:t>unpleaded</w:t>
      </w:r>
      <w:proofErr w:type="spellEnd"/>
      <w:r w:rsidR="002E11B9" w:rsidRPr="00D84F41">
        <w:rPr>
          <w:rFonts w:ascii="Times New Roman" w:hAnsi="Times New Roman" w:cs="Times New Roman"/>
        </w:rPr>
        <w:t xml:space="preserve"> case, or unless the court raised the point of its own motion at trial</w:t>
      </w:r>
      <w:r w:rsidR="00F92BBB">
        <w:rPr>
          <w:rFonts w:ascii="Times New Roman" w:hAnsi="Times New Roman" w:cs="Times New Roman"/>
        </w:rPr>
        <w:t>.</w:t>
      </w:r>
    </w:p>
    <w:p w14:paraId="021D6586" w14:textId="77777777" w:rsidR="002E11B9" w:rsidRPr="00D84F41" w:rsidRDefault="002E11B9" w:rsidP="008968CB">
      <w:pPr>
        <w:spacing w:line="360" w:lineRule="auto"/>
        <w:ind w:left="360"/>
        <w:jc w:val="both"/>
        <w:rPr>
          <w:rFonts w:ascii="Times New Roman" w:hAnsi="Times New Roman" w:cs="Times New Roman"/>
        </w:rPr>
      </w:pPr>
    </w:p>
    <w:p w14:paraId="3CCC66A6" w14:textId="6C441FC6" w:rsidR="00F4268E" w:rsidRPr="00D84F41" w:rsidRDefault="002E11B9"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Baker J held that this </w:t>
      </w:r>
      <w:r w:rsidR="001F52FB" w:rsidRPr="00D84F41">
        <w:rPr>
          <w:rFonts w:ascii="Times New Roman" w:hAnsi="Times New Roman" w:cs="Times New Roman"/>
        </w:rPr>
        <w:t xml:space="preserve">conclusion </w:t>
      </w:r>
      <w:r w:rsidRPr="00D84F41">
        <w:rPr>
          <w:rFonts w:ascii="Times New Roman" w:hAnsi="Times New Roman" w:cs="Times New Roman"/>
        </w:rPr>
        <w:t>was i</w:t>
      </w:r>
      <w:r w:rsidR="00F4268E" w:rsidRPr="00D84F41">
        <w:rPr>
          <w:rFonts w:ascii="Times New Roman" w:hAnsi="Times New Roman" w:cs="Times New Roman"/>
        </w:rPr>
        <w:t xml:space="preserve">n line with CPR </w:t>
      </w:r>
      <w:r w:rsidR="00F92BBB">
        <w:rPr>
          <w:rFonts w:ascii="Times New Roman" w:hAnsi="Times New Roman" w:cs="Times New Roman"/>
        </w:rPr>
        <w:t>r.</w:t>
      </w:r>
      <w:r w:rsidR="00F4268E" w:rsidRPr="00D84F41">
        <w:rPr>
          <w:rFonts w:ascii="Times New Roman" w:hAnsi="Times New Roman" w:cs="Times New Roman"/>
        </w:rPr>
        <w:t>16.5(2)(a)</w:t>
      </w:r>
      <w:r w:rsidRPr="00D84F41">
        <w:rPr>
          <w:rFonts w:ascii="Times New Roman" w:hAnsi="Times New Roman" w:cs="Times New Roman"/>
        </w:rPr>
        <w:t>.</w:t>
      </w:r>
      <w:r w:rsidR="00F4268E" w:rsidRPr="00D84F41">
        <w:rPr>
          <w:rFonts w:ascii="Times New Roman" w:hAnsi="Times New Roman" w:cs="Times New Roman"/>
        </w:rPr>
        <w:t xml:space="preserve"> </w:t>
      </w:r>
      <w:r w:rsidRPr="00D84F41">
        <w:rPr>
          <w:rFonts w:ascii="Times New Roman" w:hAnsi="Times New Roman" w:cs="Times New Roman"/>
        </w:rPr>
        <w:t>I</w:t>
      </w:r>
      <w:r w:rsidR="00F4268E" w:rsidRPr="00D84F41">
        <w:rPr>
          <w:rFonts w:ascii="Times New Roman" w:hAnsi="Times New Roman" w:cs="Times New Roman"/>
        </w:rPr>
        <w:t>t is for a defendant, if it wishes to raise such a contention, to plead that it is inappropriate to determine the claim by reference to English law</w:t>
      </w:r>
      <w:r w:rsidR="00C60BAC" w:rsidRPr="00D84F41">
        <w:rPr>
          <w:rFonts w:ascii="Times New Roman" w:hAnsi="Times New Roman" w:cs="Times New Roman"/>
        </w:rPr>
        <w:t xml:space="preserve"> and to particularise why that is said to be the case</w:t>
      </w:r>
      <w:r w:rsidR="00F4268E" w:rsidRPr="00D84F41">
        <w:rPr>
          <w:rFonts w:ascii="Times New Roman" w:hAnsi="Times New Roman" w:cs="Times New Roman"/>
        </w:rPr>
        <w:t xml:space="preserve">. </w:t>
      </w:r>
      <w:r w:rsidR="00C60BAC" w:rsidRPr="00D84F41">
        <w:rPr>
          <w:rFonts w:ascii="Times New Roman" w:hAnsi="Times New Roman" w:cs="Times New Roman"/>
        </w:rPr>
        <w:t xml:space="preserve"> </w:t>
      </w:r>
    </w:p>
    <w:p w14:paraId="088AC527" w14:textId="77777777" w:rsidR="00462C5D" w:rsidRPr="00D84F41" w:rsidRDefault="00462C5D" w:rsidP="008968CB">
      <w:pPr>
        <w:spacing w:line="360" w:lineRule="auto"/>
        <w:rPr>
          <w:rFonts w:ascii="Times New Roman" w:hAnsi="Times New Roman" w:cs="Times New Roman"/>
        </w:rPr>
      </w:pPr>
    </w:p>
    <w:p w14:paraId="4EBA214A" w14:textId="77777777" w:rsidR="00462C5D" w:rsidRPr="00D84F41" w:rsidRDefault="00462C5D" w:rsidP="008968CB">
      <w:pPr>
        <w:spacing w:line="360" w:lineRule="auto"/>
        <w:rPr>
          <w:rFonts w:ascii="Times New Roman" w:hAnsi="Times New Roman" w:cs="Times New Roman"/>
          <w:u w:val="single"/>
        </w:rPr>
      </w:pPr>
      <w:r w:rsidRPr="00D84F41">
        <w:rPr>
          <w:rFonts w:ascii="Times New Roman" w:hAnsi="Times New Roman" w:cs="Times New Roman"/>
          <w:u w:val="single"/>
        </w:rPr>
        <w:t>Comment</w:t>
      </w:r>
    </w:p>
    <w:p w14:paraId="559BEF98" w14:textId="77777777" w:rsidR="00462C5D" w:rsidRPr="00D84F41" w:rsidRDefault="00462C5D" w:rsidP="008968CB">
      <w:pPr>
        <w:spacing w:line="360" w:lineRule="auto"/>
        <w:jc w:val="both"/>
        <w:rPr>
          <w:rFonts w:ascii="Times New Roman" w:hAnsi="Times New Roman" w:cs="Times New Roman"/>
        </w:rPr>
      </w:pPr>
    </w:p>
    <w:p w14:paraId="5A4380A5" w14:textId="77777777" w:rsidR="009D77D7" w:rsidRPr="00D84F41" w:rsidRDefault="009D77D7"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Th</w:t>
      </w:r>
      <w:r w:rsidR="001F52FB" w:rsidRPr="00D84F41">
        <w:rPr>
          <w:rFonts w:ascii="Times New Roman" w:hAnsi="Times New Roman" w:cs="Times New Roman"/>
        </w:rPr>
        <w:t>e</w:t>
      </w:r>
      <w:r w:rsidRPr="00D84F41">
        <w:rPr>
          <w:rFonts w:ascii="Times New Roman" w:hAnsi="Times New Roman" w:cs="Times New Roman"/>
        </w:rPr>
        <w:t xml:space="preserve"> judgment provides clarity in relation to an issue that arises frequently in commercial litigation</w:t>
      </w:r>
      <w:r w:rsidR="001F52FB" w:rsidRPr="00D84F41">
        <w:rPr>
          <w:rFonts w:ascii="Times New Roman" w:hAnsi="Times New Roman" w:cs="Times New Roman"/>
        </w:rPr>
        <w:t>. It</w:t>
      </w:r>
      <w:r w:rsidRPr="00D84F41">
        <w:rPr>
          <w:rFonts w:ascii="Times New Roman" w:hAnsi="Times New Roman" w:cs="Times New Roman"/>
        </w:rPr>
        <w:t xml:space="preserve"> support</w:t>
      </w:r>
      <w:r w:rsidR="001F52FB" w:rsidRPr="00D84F41">
        <w:rPr>
          <w:rFonts w:ascii="Times New Roman" w:hAnsi="Times New Roman" w:cs="Times New Roman"/>
        </w:rPr>
        <w:t>s</w:t>
      </w:r>
      <w:r w:rsidRPr="00D84F41">
        <w:rPr>
          <w:rFonts w:ascii="Times New Roman" w:hAnsi="Times New Roman" w:cs="Times New Roman"/>
        </w:rPr>
        <w:t xml:space="preserve"> </w:t>
      </w:r>
      <w:r w:rsidR="001F52FB" w:rsidRPr="00D84F41">
        <w:rPr>
          <w:rFonts w:ascii="Times New Roman" w:hAnsi="Times New Roman" w:cs="Times New Roman"/>
        </w:rPr>
        <w:t xml:space="preserve">a </w:t>
      </w:r>
      <w:r w:rsidR="00A33568" w:rsidRPr="00D84F41">
        <w:rPr>
          <w:rFonts w:ascii="Times New Roman" w:hAnsi="Times New Roman" w:cs="Times New Roman"/>
        </w:rPr>
        <w:t>‘</w:t>
      </w:r>
      <w:r w:rsidRPr="00D84F41">
        <w:rPr>
          <w:rFonts w:ascii="Times New Roman" w:hAnsi="Times New Roman" w:cs="Times New Roman"/>
        </w:rPr>
        <w:t>cards on the table</w:t>
      </w:r>
      <w:r w:rsidR="00A33568" w:rsidRPr="00D84F41">
        <w:rPr>
          <w:rFonts w:ascii="Times New Roman" w:hAnsi="Times New Roman" w:cs="Times New Roman"/>
        </w:rPr>
        <w:t>’</w:t>
      </w:r>
      <w:r w:rsidRPr="00D84F41">
        <w:rPr>
          <w:rFonts w:ascii="Times New Roman" w:hAnsi="Times New Roman" w:cs="Times New Roman"/>
        </w:rPr>
        <w:t xml:space="preserve"> </w:t>
      </w:r>
      <w:r w:rsidR="001F52FB" w:rsidRPr="00D84F41">
        <w:rPr>
          <w:rFonts w:ascii="Times New Roman" w:hAnsi="Times New Roman" w:cs="Times New Roman"/>
        </w:rPr>
        <w:t>approach which is consistent with the overriding objective</w:t>
      </w:r>
      <w:r w:rsidRPr="00D84F41">
        <w:rPr>
          <w:rFonts w:ascii="Times New Roman" w:hAnsi="Times New Roman" w:cs="Times New Roman"/>
        </w:rPr>
        <w:t xml:space="preserve">. If either party wants to rely upon a foreign law, then it </w:t>
      </w:r>
      <w:r w:rsidRPr="00D84F41">
        <w:rPr>
          <w:rFonts w:ascii="Times New Roman" w:hAnsi="Times New Roman" w:cs="Times New Roman"/>
        </w:rPr>
        <w:lastRenderedPageBreak/>
        <w:t>must plead and prove that foreign law. I</w:t>
      </w:r>
      <w:r w:rsidR="001F52FB" w:rsidRPr="00D84F41">
        <w:rPr>
          <w:rFonts w:ascii="Times New Roman" w:hAnsi="Times New Roman" w:cs="Times New Roman"/>
        </w:rPr>
        <w:t>f neither party does so, then English law has a default rule which has the effect that English law will be applied. I</w:t>
      </w:r>
      <w:r w:rsidRPr="00D84F41">
        <w:rPr>
          <w:rFonts w:ascii="Times New Roman" w:hAnsi="Times New Roman" w:cs="Times New Roman"/>
        </w:rPr>
        <w:t xml:space="preserve">t is not </w:t>
      </w:r>
      <w:r w:rsidR="001F52FB" w:rsidRPr="00D84F41">
        <w:rPr>
          <w:rFonts w:ascii="Times New Roman" w:hAnsi="Times New Roman" w:cs="Times New Roman"/>
        </w:rPr>
        <w:t xml:space="preserve">then </w:t>
      </w:r>
      <w:r w:rsidRPr="00D84F41">
        <w:rPr>
          <w:rFonts w:ascii="Times New Roman" w:hAnsi="Times New Roman" w:cs="Times New Roman"/>
        </w:rPr>
        <w:t>open to a defendant to ambush the claimant late in the day by arguing that, despite not seeking to put foreign law in issue</w:t>
      </w:r>
      <w:r w:rsidR="001F52FB" w:rsidRPr="00D84F41">
        <w:rPr>
          <w:rFonts w:ascii="Times New Roman" w:hAnsi="Times New Roman" w:cs="Times New Roman"/>
        </w:rPr>
        <w:t xml:space="preserve"> and despite not pleading any particulars as for why the “presumption” should not apply</w:t>
      </w:r>
      <w:r w:rsidRPr="00D84F41">
        <w:rPr>
          <w:rFonts w:ascii="Times New Roman" w:hAnsi="Times New Roman" w:cs="Times New Roman"/>
        </w:rPr>
        <w:t xml:space="preserve">, the claim must fail because the claimant has failed to plead and prove its cause of action under the applicable foreign law. </w:t>
      </w:r>
    </w:p>
    <w:p w14:paraId="6AAB1F64" w14:textId="77777777" w:rsidR="009D77D7" w:rsidRPr="00D84F41" w:rsidRDefault="009D77D7" w:rsidP="008968CB">
      <w:pPr>
        <w:pStyle w:val="ListParagraph"/>
        <w:spacing w:line="360" w:lineRule="auto"/>
        <w:jc w:val="both"/>
        <w:rPr>
          <w:rFonts w:ascii="Times New Roman" w:hAnsi="Times New Roman" w:cs="Times New Roman"/>
        </w:rPr>
      </w:pPr>
    </w:p>
    <w:p w14:paraId="101A3B69" w14:textId="223C4337" w:rsidR="008B0297" w:rsidRPr="00D84F41" w:rsidRDefault="009D77D7" w:rsidP="00A33568">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The Judgment is also notable for the basis upon which this result was achieved, in particular, </w:t>
      </w:r>
      <w:r w:rsidR="001F52FB" w:rsidRPr="00D84F41">
        <w:rPr>
          <w:rFonts w:ascii="Times New Roman" w:hAnsi="Times New Roman" w:cs="Times New Roman"/>
        </w:rPr>
        <w:t>the</w:t>
      </w:r>
      <w:r w:rsidRPr="00D84F41">
        <w:rPr>
          <w:rFonts w:ascii="Times New Roman" w:hAnsi="Times New Roman" w:cs="Times New Roman"/>
        </w:rPr>
        <w:t xml:space="preserve"> reference to the pleading obligations that fall upon the defendant under CPR </w:t>
      </w:r>
      <w:r w:rsidR="00F92BBB">
        <w:rPr>
          <w:rFonts w:ascii="Times New Roman" w:hAnsi="Times New Roman" w:cs="Times New Roman"/>
        </w:rPr>
        <w:t>r.</w:t>
      </w:r>
      <w:r w:rsidRPr="00D84F41">
        <w:rPr>
          <w:rFonts w:ascii="Times New Roman" w:hAnsi="Times New Roman" w:cs="Times New Roman"/>
        </w:rPr>
        <w:t xml:space="preserve">16.5(2)(a). </w:t>
      </w:r>
    </w:p>
    <w:p w14:paraId="5965E18B" w14:textId="77777777" w:rsidR="008B0297" w:rsidRPr="00D84F41" w:rsidRDefault="008B0297" w:rsidP="00D84F41">
      <w:pPr>
        <w:pStyle w:val="ListParagraph"/>
        <w:rPr>
          <w:rFonts w:ascii="Times New Roman" w:hAnsi="Times New Roman" w:cs="Times New Roman"/>
        </w:rPr>
      </w:pPr>
    </w:p>
    <w:p w14:paraId="10C85F1F" w14:textId="198B99C8" w:rsidR="008B0297" w:rsidRPr="00D84F41" w:rsidRDefault="00A33568" w:rsidP="00D84F41">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Moreover, as regards the two authorities particularly relied upon by D5/D6, the Judge held that </w:t>
      </w:r>
      <w:r w:rsidR="008B0297" w:rsidRPr="00D84F41">
        <w:rPr>
          <w:rFonts w:ascii="Times New Roman" w:hAnsi="Times New Roman" w:cs="Times New Roman"/>
        </w:rPr>
        <w:t xml:space="preserve">in the </w:t>
      </w:r>
      <w:r w:rsidR="008B0297" w:rsidRPr="00D84F41">
        <w:rPr>
          <w:rFonts w:ascii="Times New Roman" w:hAnsi="Times New Roman" w:cs="Times New Roman"/>
          <w:i/>
        </w:rPr>
        <w:t xml:space="preserve">Global Multimedia </w:t>
      </w:r>
      <w:r w:rsidR="008B0297" w:rsidRPr="00D84F41">
        <w:rPr>
          <w:rFonts w:ascii="Times New Roman" w:hAnsi="Times New Roman" w:cs="Times New Roman"/>
        </w:rPr>
        <w:t xml:space="preserve">case there was a confusion between (a) the need to plead (and prove) propositions of foreign law, if relied on, and (b) whether there is a need to rely on (and therefore to plead and prove) foreign law in the first place. He held that a similar confusion affected </w:t>
      </w:r>
      <w:proofErr w:type="spellStart"/>
      <w:r w:rsidR="008B0297" w:rsidRPr="00D84F41">
        <w:rPr>
          <w:rFonts w:ascii="Times New Roman" w:hAnsi="Times New Roman" w:cs="Times New Roman"/>
          <w:i/>
        </w:rPr>
        <w:t>Belhaj</w:t>
      </w:r>
      <w:proofErr w:type="spellEnd"/>
      <w:r w:rsidR="008B0297" w:rsidRPr="00D84F41">
        <w:rPr>
          <w:rFonts w:ascii="Times New Roman" w:hAnsi="Times New Roman" w:cs="Times New Roman"/>
          <w:i/>
        </w:rPr>
        <w:t xml:space="preserve"> v Straw</w:t>
      </w:r>
      <w:r w:rsidR="008B0297" w:rsidRPr="00D84F41">
        <w:rPr>
          <w:rFonts w:ascii="Times New Roman" w:hAnsi="Times New Roman" w:cs="Times New Roman"/>
        </w:rPr>
        <w:t>,</w:t>
      </w:r>
      <w:r w:rsidR="008B0297" w:rsidRPr="00D84F41">
        <w:rPr>
          <w:rFonts w:ascii="Times New Roman" w:hAnsi="Times New Roman" w:cs="Times New Roman"/>
          <w:i/>
        </w:rPr>
        <w:t xml:space="preserve"> </w:t>
      </w:r>
      <w:r w:rsidR="008B0297" w:rsidRPr="00D84F41">
        <w:rPr>
          <w:rFonts w:ascii="Times New Roman" w:hAnsi="Times New Roman" w:cs="Times New Roman"/>
        </w:rPr>
        <w:t xml:space="preserve">unless the very striking and unusual circumstances of that case are kept in mind. </w:t>
      </w:r>
      <w:r w:rsidRPr="00D84F41">
        <w:rPr>
          <w:rFonts w:ascii="Times New Roman" w:hAnsi="Times New Roman" w:cs="Times New Roman"/>
        </w:rPr>
        <w:t xml:space="preserve">Instead, he preferred the approach </w:t>
      </w:r>
      <w:r w:rsidR="008B0297" w:rsidRPr="00D84F41">
        <w:rPr>
          <w:rFonts w:ascii="Times New Roman" w:hAnsi="Times New Roman" w:cs="Times New Roman"/>
        </w:rPr>
        <w:t xml:space="preserve">and analysis </w:t>
      </w:r>
      <w:r w:rsidRPr="00D84F41">
        <w:rPr>
          <w:rFonts w:ascii="Times New Roman" w:hAnsi="Times New Roman" w:cs="Times New Roman"/>
        </w:rPr>
        <w:t>of Arden LJ (as she then was</w:t>
      </w:r>
      <w:r w:rsidR="008B0297" w:rsidRPr="00D84F41">
        <w:rPr>
          <w:rFonts w:ascii="Times New Roman" w:hAnsi="Times New Roman" w:cs="Times New Roman"/>
        </w:rPr>
        <w:t>)</w:t>
      </w:r>
      <w:r w:rsidRPr="00D84F41">
        <w:rPr>
          <w:rFonts w:ascii="Times New Roman" w:hAnsi="Times New Roman" w:cs="Times New Roman"/>
        </w:rPr>
        <w:t xml:space="preserve"> in </w:t>
      </w:r>
      <w:r w:rsidR="008B0297" w:rsidRPr="00D84F41">
        <w:rPr>
          <w:rFonts w:ascii="Times New Roman" w:hAnsi="Times New Roman" w:cs="Times New Roman"/>
          <w:i/>
          <w:iCs/>
        </w:rPr>
        <w:t xml:space="preserve">OPO v MLA </w:t>
      </w:r>
      <w:r w:rsidR="008B0297" w:rsidRPr="00D84F41">
        <w:rPr>
          <w:rFonts w:ascii="Times New Roman" w:hAnsi="Times New Roman" w:cs="Times New Roman"/>
          <w:iCs/>
        </w:rPr>
        <w:t xml:space="preserve">[2015] EMLR 4 and </w:t>
      </w:r>
      <w:proofErr w:type="spellStart"/>
      <w:r w:rsidR="008B0297" w:rsidRPr="00D84F41">
        <w:rPr>
          <w:rFonts w:ascii="Times New Roman" w:hAnsi="Times New Roman" w:cs="Times New Roman"/>
          <w:i/>
          <w:iCs/>
        </w:rPr>
        <w:t>Brownlie</w:t>
      </w:r>
      <w:proofErr w:type="spellEnd"/>
      <w:r w:rsidR="008B0297" w:rsidRPr="00D84F41">
        <w:rPr>
          <w:rFonts w:ascii="Times New Roman" w:hAnsi="Times New Roman" w:cs="Times New Roman"/>
          <w:i/>
          <w:iCs/>
        </w:rPr>
        <w:t xml:space="preserve"> v Four Seasons Holdings Inc </w:t>
      </w:r>
      <w:r w:rsidR="008B0297" w:rsidRPr="00D84F41">
        <w:rPr>
          <w:rFonts w:ascii="Times New Roman" w:hAnsi="Times New Roman" w:cs="Times New Roman"/>
          <w:iCs/>
        </w:rPr>
        <w:t>[2016] 1 WLR 1814.</w:t>
      </w:r>
    </w:p>
    <w:p w14:paraId="40056DEF" w14:textId="4E21B20C" w:rsidR="009D77D7" w:rsidRPr="00D84F41" w:rsidRDefault="009D77D7" w:rsidP="00D84F41">
      <w:pPr>
        <w:spacing w:line="360" w:lineRule="auto"/>
        <w:jc w:val="both"/>
        <w:rPr>
          <w:rFonts w:ascii="Times New Roman" w:hAnsi="Times New Roman" w:cs="Times New Roman"/>
        </w:rPr>
      </w:pPr>
    </w:p>
    <w:p w14:paraId="085AD829" w14:textId="7AB85E55" w:rsidR="00BF7552" w:rsidRPr="00D84F41" w:rsidRDefault="00BE068F" w:rsidP="00D84F41">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 xml:space="preserve">Practitioners </w:t>
      </w:r>
      <w:r w:rsidR="009D77D7" w:rsidRPr="00D84F41">
        <w:rPr>
          <w:rFonts w:ascii="Times New Roman" w:hAnsi="Times New Roman" w:cs="Times New Roman"/>
        </w:rPr>
        <w:t xml:space="preserve">should be aware that </w:t>
      </w:r>
      <w:r w:rsidRPr="00D84F41">
        <w:rPr>
          <w:rFonts w:ascii="Times New Roman" w:hAnsi="Times New Roman" w:cs="Times New Roman"/>
        </w:rPr>
        <w:t xml:space="preserve">prior to this case the </w:t>
      </w:r>
      <w:r w:rsidR="009D77D7" w:rsidRPr="00D84F41">
        <w:rPr>
          <w:rFonts w:ascii="Times New Roman" w:hAnsi="Times New Roman" w:cs="Times New Roman"/>
        </w:rPr>
        <w:t xml:space="preserve">exceptions to the default “presumption” </w:t>
      </w:r>
      <w:r w:rsidRPr="00D84F41">
        <w:rPr>
          <w:rFonts w:ascii="Times New Roman" w:hAnsi="Times New Roman" w:cs="Times New Roman"/>
        </w:rPr>
        <w:t xml:space="preserve">were </w:t>
      </w:r>
      <w:r w:rsidR="009D77D7" w:rsidRPr="00D84F41">
        <w:rPr>
          <w:rFonts w:ascii="Times New Roman" w:hAnsi="Times New Roman" w:cs="Times New Roman"/>
        </w:rPr>
        <w:t xml:space="preserve">poorly defined. </w:t>
      </w:r>
      <w:r w:rsidR="001F52FB" w:rsidRPr="00D84F41">
        <w:rPr>
          <w:rFonts w:ascii="Times New Roman" w:hAnsi="Times New Roman" w:cs="Times New Roman"/>
        </w:rPr>
        <w:t>P</w:t>
      </w:r>
      <w:r w:rsidR="009D77D7" w:rsidRPr="00D84F41">
        <w:rPr>
          <w:rFonts w:ascii="Times New Roman" w:hAnsi="Times New Roman" w:cs="Times New Roman"/>
        </w:rPr>
        <w:t xml:space="preserve">aragraph 9-029 of Dicey </w:t>
      </w:r>
      <w:r w:rsidRPr="00D84F41">
        <w:rPr>
          <w:rFonts w:ascii="Times New Roman" w:hAnsi="Times New Roman" w:cs="Times New Roman"/>
        </w:rPr>
        <w:t>highlighted</w:t>
      </w:r>
      <w:r w:rsidR="009D77D7" w:rsidRPr="00D84F41">
        <w:rPr>
          <w:rFonts w:ascii="Times New Roman" w:hAnsi="Times New Roman" w:cs="Times New Roman"/>
        </w:rPr>
        <w:t xml:space="preserve"> the unsatisfactory state of </w:t>
      </w:r>
      <w:r w:rsidR="001F52FB" w:rsidRPr="00D84F41">
        <w:rPr>
          <w:rFonts w:ascii="Times New Roman" w:hAnsi="Times New Roman" w:cs="Times New Roman"/>
        </w:rPr>
        <w:t xml:space="preserve">the </w:t>
      </w:r>
      <w:r w:rsidR="009D77D7" w:rsidRPr="00D84F41">
        <w:rPr>
          <w:rFonts w:ascii="Times New Roman" w:hAnsi="Times New Roman" w:cs="Times New Roman"/>
        </w:rPr>
        <w:t xml:space="preserve">conflicting and vague </w:t>
      </w:r>
      <w:r w:rsidRPr="00D84F41">
        <w:rPr>
          <w:rFonts w:ascii="Times New Roman" w:hAnsi="Times New Roman" w:cs="Times New Roman"/>
        </w:rPr>
        <w:t>authorities</w:t>
      </w:r>
      <w:r w:rsidR="009D77D7" w:rsidRPr="00D84F41">
        <w:rPr>
          <w:rFonts w:ascii="Times New Roman" w:hAnsi="Times New Roman" w:cs="Times New Roman"/>
        </w:rPr>
        <w:t xml:space="preserve"> </w:t>
      </w:r>
      <w:r w:rsidRPr="00D84F41">
        <w:rPr>
          <w:rFonts w:ascii="Times New Roman" w:hAnsi="Times New Roman" w:cs="Times New Roman"/>
        </w:rPr>
        <w:t xml:space="preserve">on </w:t>
      </w:r>
      <w:r w:rsidR="001F52FB" w:rsidRPr="00D84F41">
        <w:rPr>
          <w:rFonts w:ascii="Times New Roman" w:hAnsi="Times New Roman" w:cs="Times New Roman"/>
        </w:rPr>
        <w:t>when the “presumption” ought not apply</w:t>
      </w:r>
      <w:r w:rsidRPr="00D84F41">
        <w:rPr>
          <w:rFonts w:ascii="Times New Roman" w:hAnsi="Times New Roman" w:cs="Times New Roman"/>
        </w:rPr>
        <w:t xml:space="preserve">. It stated that </w:t>
      </w:r>
      <w:r w:rsidR="009D77D7" w:rsidRPr="00D84F41">
        <w:rPr>
          <w:rFonts w:ascii="Times New Roman" w:hAnsi="Times New Roman" w:cs="Times New Roman"/>
        </w:rPr>
        <w:t>“</w:t>
      </w:r>
      <w:r w:rsidRPr="00D84F41">
        <w:rPr>
          <w:rFonts w:ascii="Times New Roman" w:hAnsi="Times New Roman" w:cs="Times New Roman"/>
          <w:i/>
        </w:rPr>
        <w:t>[t]</w:t>
      </w:r>
      <w:r w:rsidR="009D77D7" w:rsidRPr="00D84F41">
        <w:rPr>
          <w:rFonts w:ascii="Times New Roman" w:hAnsi="Times New Roman" w:cs="Times New Roman"/>
          <w:i/>
        </w:rPr>
        <w:t>he conclusion is that there are cases in which the default application of a rule of English law is simply too problematic to be appropriate, but that apart from the fact that a court should not ‘invent’ a rule of English law to be applied in default of proof of foreign law, no sharp line exists to define the limits of the principle that in default of sufficient proof, foreign law will be taken to be the same as English law.</w:t>
      </w:r>
      <w:r w:rsidR="009D77D7" w:rsidRPr="00F92BBB">
        <w:rPr>
          <w:rFonts w:ascii="Times New Roman" w:hAnsi="Times New Roman" w:cs="Times New Roman"/>
        </w:rPr>
        <w:t>”</w:t>
      </w:r>
      <w:r w:rsidRPr="00D84F41">
        <w:rPr>
          <w:rFonts w:ascii="Times New Roman" w:hAnsi="Times New Roman" w:cs="Times New Roman"/>
        </w:rPr>
        <w:t xml:space="preserve"> </w:t>
      </w:r>
    </w:p>
    <w:p w14:paraId="501EA7A9" w14:textId="77777777" w:rsidR="00BE068F" w:rsidRPr="00D84F41" w:rsidRDefault="00BE068F" w:rsidP="00A33568">
      <w:pPr>
        <w:pStyle w:val="ListParagraph"/>
        <w:spacing w:line="360" w:lineRule="auto"/>
        <w:rPr>
          <w:rFonts w:ascii="Times New Roman" w:hAnsi="Times New Roman" w:cs="Times New Roman"/>
        </w:rPr>
      </w:pPr>
    </w:p>
    <w:p w14:paraId="4312CEB8" w14:textId="77777777" w:rsidR="00BE068F" w:rsidRPr="00D84F41" w:rsidRDefault="001F52FB" w:rsidP="008968CB">
      <w:pPr>
        <w:pStyle w:val="ListParagraph"/>
        <w:numPr>
          <w:ilvl w:val="0"/>
          <w:numId w:val="1"/>
        </w:numPr>
        <w:spacing w:line="360" w:lineRule="auto"/>
        <w:jc w:val="both"/>
        <w:rPr>
          <w:rFonts w:ascii="Times New Roman" w:hAnsi="Times New Roman" w:cs="Times New Roman"/>
        </w:rPr>
      </w:pPr>
      <w:r w:rsidRPr="00D84F41">
        <w:rPr>
          <w:rFonts w:ascii="Times New Roman" w:hAnsi="Times New Roman" w:cs="Times New Roman"/>
        </w:rPr>
        <w:t>T</w:t>
      </w:r>
      <w:r w:rsidR="00BE068F" w:rsidRPr="00D84F41">
        <w:rPr>
          <w:rFonts w:ascii="Times New Roman" w:hAnsi="Times New Roman" w:cs="Times New Roman"/>
        </w:rPr>
        <w:t xml:space="preserve">his judgment does not </w:t>
      </w:r>
      <w:r w:rsidRPr="00D84F41">
        <w:rPr>
          <w:rFonts w:ascii="Times New Roman" w:hAnsi="Times New Roman" w:cs="Times New Roman"/>
        </w:rPr>
        <w:t xml:space="preserve">attempt to resolve that issue. </w:t>
      </w:r>
      <w:r w:rsidR="001944F6" w:rsidRPr="00D84F41">
        <w:rPr>
          <w:rFonts w:ascii="Times New Roman" w:hAnsi="Times New Roman" w:cs="Times New Roman"/>
        </w:rPr>
        <w:t>W</w:t>
      </w:r>
      <w:r w:rsidRPr="00D84F41">
        <w:rPr>
          <w:rFonts w:ascii="Times New Roman" w:hAnsi="Times New Roman" w:cs="Times New Roman"/>
        </w:rPr>
        <w:t xml:space="preserve">hat it does do is provide </w:t>
      </w:r>
      <w:r w:rsidR="00BE068F" w:rsidRPr="00D84F41">
        <w:rPr>
          <w:rFonts w:ascii="Times New Roman" w:hAnsi="Times New Roman" w:cs="Times New Roman"/>
        </w:rPr>
        <w:t xml:space="preserve">clarity </w:t>
      </w:r>
      <w:r w:rsidRPr="00D84F41">
        <w:rPr>
          <w:rFonts w:ascii="Times New Roman" w:hAnsi="Times New Roman" w:cs="Times New Roman"/>
        </w:rPr>
        <w:t xml:space="preserve">and certainty </w:t>
      </w:r>
      <w:r w:rsidR="00BE068F" w:rsidRPr="00D84F41">
        <w:rPr>
          <w:rFonts w:ascii="Times New Roman" w:hAnsi="Times New Roman" w:cs="Times New Roman"/>
        </w:rPr>
        <w:t xml:space="preserve">for both claimants and defendants </w:t>
      </w:r>
      <w:r w:rsidRPr="00D84F41">
        <w:rPr>
          <w:rFonts w:ascii="Times New Roman" w:hAnsi="Times New Roman" w:cs="Times New Roman"/>
        </w:rPr>
        <w:t xml:space="preserve">as to </w:t>
      </w:r>
      <w:r w:rsidR="001944F6" w:rsidRPr="00D84F41">
        <w:rPr>
          <w:rFonts w:ascii="Times New Roman" w:hAnsi="Times New Roman" w:cs="Times New Roman"/>
        </w:rPr>
        <w:t>how and when the “presumption” applies and the proce</w:t>
      </w:r>
      <w:bookmarkStart w:id="0" w:name="_GoBack"/>
      <w:bookmarkEnd w:id="0"/>
      <w:r w:rsidR="001944F6" w:rsidRPr="00D84F41">
        <w:rPr>
          <w:rFonts w:ascii="Times New Roman" w:hAnsi="Times New Roman" w:cs="Times New Roman"/>
        </w:rPr>
        <w:t>durally proper approach towards challenging any reliance on the “presumption”</w:t>
      </w:r>
      <w:r w:rsidR="007201F0" w:rsidRPr="00D84F41">
        <w:rPr>
          <w:rFonts w:ascii="Times New Roman" w:hAnsi="Times New Roman" w:cs="Times New Roman"/>
        </w:rPr>
        <w:t xml:space="preserve"> in normal commercial cases</w:t>
      </w:r>
      <w:r w:rsidR="00BE068F" w:rsidRPr="00D84F41">
        <w:rPr>
          <w:rFonts w:ascii="Times New Roman" w:hAnsi="Times New Roman" w:cs="Times New Roman"/>
        </w:rPr>
        <w:t xml:space="preserve">. </w:t>
      </w:r>
    </w:p>
    <w:p w14:paraId="439137E5" w14:textId="77777777" w:rsidR="001944F6" w:rsidRPr="00D84F41" w:rsidRDefault="001944F6" w:rsidP="001944F6">
      <w:pPr>
        <w:pStyle w:val="ListParagraph"/>
        <w:rPr>
          <w:rFonts w:ascii="Times New Roman" w:hAnsi="Times New Roman" w:cs="Times New Roman"/>
        </w:rPr>
      </w:pPr>
    </w:p>
    <w:p w14:paraId="351A17DF" w14:textId="77777777" w:rsidR="001944F6" w:rsidRPr="00D84F41" w:rsidRDefault="001944F6" w:rsidP="001944F6">
      <w:pPr>
        <w:spacing w:line="360" w:lineRule="auto"/>
        <w:jc w:val="right"/>
        <w:rPr>
          <w:rFonts w:ascii="Times New Roman" w:hAnsi="Times New Roman" w:cs="Times New Roman"/>
        </w:rPr>
      </w:pPr>
      <w:r w:rsidRPr="00D84F41">
        <w:rPr>
          <w:rFonts w:ascii="Times New Roman" w:hAnsi="Times New Roman" w:cs="Times New Roman"/>
        </w:rPr>
        <w:t>Graham Dunning QC</w:t>
      </w:r>
    </w:p>
    <w:p w14:paraId="45128B05" w14:textId="77777777" w:rsidR="001944F6" w:rsidRPr="00D84F41" w:rsidRDefault="001944F6" w:rsidP="001944F6">
      <w:pPr>
        <w:spacing w:line="360" w:lineRule="auto"/>
        <w:jc w:val="right"/>
        <w:rPr>
          <w:rFonts w:ascii="Times New Roman" w:hAnsi="Times New Roman" w:cs="Times New Roman"/>
        </w:rPr>
      </w:pPr>
      <w:r w:rsidRPr="00D84F41">
        <w:rPr>
          <w:rFonts w:ascii="Times New Roman" w:hAnsi="Times New Roman" w:cs="Times New Roman"/>
        </w:rPr>
        <w:t>Jern-Fei Ng QC</w:t>
      </w:r>
    </w:p>
    <w:p w14:paraId="736C23D1" w14:textId="77777777" w:rsidR="001944F6" w:rsidRPr="00D84F41" w:rsidRDefault="001944F6" w:rsidP="001944F6">
      <w:pPr>
        <w:spacing w:line="360" w:lineRule="auto"/>
        <w:jc w:val="right"/>
        <w:rPr>
          <w:rFonts w:ascii="Times New Roman" w:hAnsi="Times New Roman" w:cs="Times New Roman"/>
        </w:rPr>
      </w:pPr>
      <w:r w:rsidRPr="00D84F41">
        <w:rPr>
          <w:rFonts w:ascii="Times New Roman" w:hAnsi="Times New Roman" w:cs="Times New Roman"/>
        </w:rPr>
        <w:t>Adam Woolnough</w:t>
      </w:r>
    </w:p>
    <w:sectPr w:rsidR="001944F6" w:rsidRPr="00D84F41" w:rsidSect="009E231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E492" w14:textId="77777777" w:rsidR="00503106" w:rsidRDefault="00503106" w:rsidP="009D77D7">
      <w:r>
        <w:separator/>
      </w:r>
    </w:p>
  </w:endnote>
  <w:endnote w:type="continuationSeparator" w:id="0">
    <w:p w14:paraId="24C7522A" w14:textId="77777777" w:rsidR="00503106" w:rsidRDefault="00503106" w:rsidP="009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860532"/>
      <w:docPartObj>
        <w:docPartGallery w:val="Page Numbers (Bottom of Page)"/>
        <w:docPartUnique/>
      </w:docPartObj>
    </w:sdtPr>
    <w:sdtEndPr>
      <w:rPr>
        <w:rStyle w:val="PageNumber"/>
      </w:rPr>
    </w:sdtEndPr>
    <w:sdtContent>
      <w:p w14:paraId="3805BC62" w14:textId="77777777" w:rsidR="009D77D7" w:rsidRDefault="009D77D7" w:rsidP="00626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8BD2A" w14:textId="77777777" w:rsidR="009D77D7" w:rsidRDefault="009D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666786"/>
      <w:docPartObj>
        <w:docPartGallery w:val="Page Numbers (Bottom of Page)"/>
        <w:docPartUnique/>
      </w:docPartObj>
    </w:sdtPr>
    <w:sdtEndPr>
      <w:rPr>
        <w:rStyle w:val="PageNumber"/>
      </w:rPr>
    </w:sdtEndPr>
    <w:sdtContent>
      <w:p w14:paraId="29198B06" w14:textId="77777777" w:rsidR="009D77D7" w:rsidRDefault="009D77D7" w:rsidP="00626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16D6">
          <w:rPr>
            <w:rStyle w:val="PageNumber"/>
            <w:noProof/>
          </w:rPr>
          <w:t>2</w:t>
        </w:r>
        <w:r>
          <w:rPr>
            <w:rStyle w:val="PageNumber"/>
          </w:rPr>
          <w:fldChar w:fldCharType="end"/>
        </w:r>
      </w:p>
    </w:sdtContent>
  </w:sdt>
  <w:p w14:paraId="53F72D1D" w14:textId="77777777" w:rsidR="009D77D7" w:rsidRDefault="009D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8106" w14:textId="77777777" w:rsidR="00503106" w:rsidRDefault="00503106" w:rsidP="009D77D7">
      <w:r>
        <w:separator/>
      </w:r>
    </w:p>
  </w:footnote>
  <w:footnote w:type="continuationSeparator" w:id="0">
    <w:p w14:paraId="246E11C1" w14:textId="77777777" w:rsidR="00503106" w:rsidRDefault="00503106" w:rsidP="009D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6920"/>
    <w:multiLevelType w:val="hybridMultilevel"/>
    <w:tmpl w:val="A3B28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E6"/>
    <w:rsid w:val="00005587"/>
    <w:rsid w:val="0004478D"/>
    <w:rsid w:val="001944F6"/>
    <w:rsid w:val="001C0FCF"/>
    <w:rsid w:val="001F52FB"/>
    <w:rsid w:val="00275738"/>
    <w:rsid w:val="002E11B9"/>
    <w:rsid w:val="003137CE"/>
    <w:rsid w:val="00385C5D"/>
    <w:rsid w:val="00462C5D"/>
    <w:rsid w:val="00503106"/>
    <w:rsid w:val="00562AF5"/>
    <w:rsid w:val="00707341"/>
    <w:rsid w:val="007201F0"/>
    <w:rsid w:val="00770290"/>
    <w:rsid w:val="008968CB"/>
    <w:rsid w:val="008B0297"/>
    <w:rsid w:val="008B362F"/>
    <w:rsid w:val="008E16D6"/>
    <w:rsid w:val="009A6022"/>
    <w:rsid w:val="009C6B3D"/>
    <w:rsid w:val="009D77D7"/>
    <w:rsid w:val="009E2315"/>
    <w:rsid w:val="00A33568"/>
    <w:rsid w:val="00AE0F14"/>
    <w:rsid w:val="00B218B5"/>
    <w:rsid w:val="00B70709"/>
    <w:rsid w:val="00BB66F0"/>
    <w:rsid w:val="00BE068F"/>
    <w:rsid w:val="00BF186B"/>
    <w:rsid w:val="00BF7552"/>
    <w:rsid w:val="00C40E44"/>
    <w:rsid w:val="00C60BAC"/>
    <w:rsid w:val="00D325AD"/>
    <w:rsid w:val="00D740A2"/>
    <w:rsid w:val="00D84F41"/>
    <w:rsid w:val="00DB0048"/>
    <w:rsid w:val="00DB1723"/>
    <w:rsid w:val="00DF48DC"/>
    <w:rsid w:val="00EB7571"/>
    <w:rsid w:val="00EC09E6"/>
    <w:rsid w:val="00F4268E"/>
    <w:rsid w:val="00F6322B"/>
    <w:rsid w:val="00F9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E1D7"/>
  <w15:docId w15:val="{CAF05F39-D4C1-CE4B-B9F7-ACA5D37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E6"/>
    <w:pPr>
      <w:ind w:left="720"/>
      <w:contextualSpacing/>
    </w:pPr>
  </w:style>
  <w:style w:type="paragraph" w:styleId="Footer">
    <w:name w:val="footer"/>
    <w:basedOn w:val="Normal"/>
    <w:link w:val="FooterChar"/>
    <w:uiPriority w:val="99"/>
    <w:unhideWhenUsed/>
    <w:rsid w:val="009D77D7"/>
    <w:pPr>
      <w:tabs>
        <w:tab w:val="center" w:pos="4513"/>
        <w:tab w:val="right" w:pos="9026"/>
      </w:tabs>
    </w:pPr>
  </w:style>
  <w:style w:type="character" w:customStyle="1" w:styleId="FooterChar">
    <w:name w:val="Footer Char"/>
    <w:basedOn w:val="DefaultParagraphFont"/>
    <w:link w:val="Footer"/>
    <w:uiPriority w:val="99"/>
    <w:rsid w:val="009D77D7"/>
  </w:style>
  <w:style w:type="character" w:styleId="PageNumber">
    <w:name w:val="page number"/>
    <w:basedOn w:val="DefaultParagraphFont"/>
    <w:uiPriority w:val="99"/>
    <w:semiHidden/>
    <w:unhideWhenUsed/>
    <w:rsid w:val="009D77D7"/>
  </w:style>
  <w:style w:type="character" w:styleId="CommentReference">
    <w:name w:val="annotation reference"/>
    <w:basedOn w:val="DefaultParagraphFont"/>
    <w:uiPriority w:val="99"/>
    <w:semiHidden/>
    <w:unhideWhenUsed/>
    <w:rsid w:val="00A33568"/>
    <w:rPr>
      <w:sz w:val="16"/>
      <w:szCs w:val="16"/>
    </w:rPr>
  </w:style>
  <w:style w:type="paragraph" w:styleId="CommentText">
    <w:name w:val="annotation text"/>
    <w:basedOn w:val="Normal"/>
    <w:link w:val="CommentTextChar"/>
    <w:uiPriority w:val="99"/>
    <w:semiHidden/>
    <w:unhideWhenUsed/>
    <w:rsid w:val="00A33568"/>
    <w:rPr>
      <w:sz w:val="20"/>
      <w:szCs w:val="20"/>
    </w:rPr>
  </w:style>
  <w:style w:type="character" w:customStyle="1" w:styleId="CommentTextChar">
    <w:name w:val="Comment Text Char"/>
    <w:basedOn w:val="DefaultParagraphFont"/>
    <w:link w:val="CommentText"/>
    <w:uiPriority w:val="99"/>
    <w:semiHidden/>
    <w:rsid w:val="00A33568"/>
    <w:rPr>
      <w:sz w:val="20"/>
      <w:szCs w:val="20"/>
    </w:rPr>
  </w:style>
  <w:style w:type="paragraph" w:styleId="CommentSubject">
    <w:name w:val="annotation subject"/>
    <w:basedOn w:val="CommentText"/>
    <w:next w:val="CommentText"/>
    <w:link w:val="CommentSubjectChar"/>
    <w:uiPriority w:val="99"/>
    <w:semiHidden/>
    <w:unhideWhenUsed/>
    <w:rsid w:val="00A33568"/>
    <w:rPr>
      <w:b/>
      <w:bCs/>
    </w:rPr>
  </w:style>
  <w:style w:type="character" w:customStyle="1" w:styleId="CommentSubjectChar">
    <w:name w:val="Comment Subject Char"/>
    <w:basedOn w:val="CommentTextChar"/>
    <w:link w:val="CommentSubject"/>
    <w:uiPriority w:val="99"/>
    <w:semiHidden/>
    <w:rsid w:val="00A33568"/>
    <w:rPr>
      <w:b/>
      <w:bCs/>
      <w:sz w:val="20"/>
      <w:szCs w:val="20"/>
    </w:rPr>
  </w:style>
  <w:style w:type="paragraph" w:styleId="BalloonText">
    <w:name w:val="Balloon Text"/>
    <w:basedOn w:val="Normal"/>
    <w:link w:val="BalloonTextChar"/>
    <w:uiPriority w:val="99"/>
    <w:semiHidden/>
    <w:unhideWhenUsed/>
    <w:rsid w:val="00A33568"/>
    <w:rPr>
      <w:rFonts w:ascii="Tahoma" w:hAnsi="Tahoma" w:cs="Tahoma"/>
      <w:sz w:val="16"/>
      <w:szCs w:val="16"/>
    </w:rPr>
  </w:style>
  <w:style w:type="character" w:customStyle="1" w:styleId="BalloonTextChar">
    <w:name w:val="Balloon Text Char"/>
    <w:basedOn w:val="DefaultParagraphFont"/>
    <w:link w:val="BalloonText"/>
    <w:uiPriority w:val="99"/>
    <w:semiHidden/>
    <w:rsid w:val="00A33568"/>
    <w:rPr>
      <w:rFonts w:ascii="Tahoma" w:hAnsi="Tahoma" w:cs="Tahoma"/>
      <w:sz w:val="16"/>
      <w:szCs w:val="16"/>
    </w:rPr>
  </w:style>
  <w:style w:type="character" w:styleId="Hyperlink">
    <w:name w:val="Hyperlink"/>
    <w:basedOn w:val="DefaultParagraphFont"/>
    <w:uiPriority w:val="99"/>
    <w:unhideWhenUsed/>
    <w:rsid w:val="008B0297"/>
    <w:rPr>
      <w:color w:val="0563C1" w:themeColor="hyperlink"/>
      <w:u w:val="single"/>
    </w:rPr>
  </w:style>
  <w:style w:type="character" w:styleId="UnresolvedMention">
    <w:name w:val="Unresolved Mention"/>
    <w:basedOn w:val="DefaultParagraphFont"/>
    <w:uiPriority w:val="99"/>
    <w:semiHidden/>
    <w:unhideWhenUsed/>
    <w:rsid w:val="008B0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189">
      <w:bodyDiv w:val="1"/>
      <w:marLeft w:val="0"/>
      <w:marRight w:val="0"/>
      <w:marTop w:val="0"/>
      <w:marBottom w:val="0"/>
      <w:divBdr>
        <w:top w:val="none" w:sz="0" w:space="0" w:color="auto"/>
        <w:left w:val="none" w:sz="0" w:space="0" w:color="auto"/>
        <w:bottom w:val="none" w:sz="0" w:space="0" w:color="auto"/>
        <w:right w:val="none" w:sz="0" w:space="0" w:color="auto"/>
      </w:divBdr>
    </w:div>
    <w:div w:id="86930171">
      <w:bodyDiv w:val="1"/>
      <w:marLeft w:val="0"/>
      <w:marRight w:val="0"/>
      <w:marTop w:val="0"/>
      <w:marBottom w:val="0"/>
      <w:divBdr>
        <w:top w:val="none" w:sz="0" w:space="0" w:color="auto"/>
        <w:left w:val="none" w:sz="0" w:space="0" w:color="auto"/>
        <w:bottom w:val="none" w:sz="0" w:space="0" w:color="auto"/>
        <w:right w:val="none" w:sz="0" w:space="0" w:color="auto"/>
      </w:divBdr>
    </w:div>
    <w:div w:id="204876145">
      <w:bodyDiv w:val="1"/>
      <w:marLeft w:val="0"/>
      <w:marRight w:val="0"/>
      <w:marTop w:val="0"/>
      <w:marBottom w:val="0"/>
      <w:divBdr>
        <w:top w:val="none" w:sz="0" w:space="0" w:color="auto"/>
        <w:left w:val="none" w:sz="0" w:space="0" w:color="auto"/>
        <w:bottom w:val="none" w:sz="0" w:space="0" w:color="auto"/>
        <w:right w:val="none" w:sz="0" w:space="0" w:color="auto"/>
      </w:divBdr>
    </w:div>
    <w:div w:id="215244911">
      <w:bodyDiv w:val="1"/>
      <w:marLeft w:val="0"/>
      <w:marRight w:val="0"/>
      <w:marTop w:val="0"/>
      <w:marBottom w:val="0"/>
      <w:divBdr>
        <w:top w:val="none" w:sz="0" w:space="0" w:color="auto"/>
        <w:left w:val="none" w:sz="0" w:space="0" w:color="auto"/>
        <w:bottom w:val="none" w:sz="0" w:space="0" w:color="auto"/>
        <w:right w:val="none" w:sz="0" w:space="0" w:color="auto"/>
      </w:divBdr>
    </w:div>
    <w:div w:id="473566212">
      <w:bodyDiv w:val="1"/>
      <w:marLeft w:val="0"/>
      <w:marRight w:val="0"/>
      <w:marTop w:val="0"/>
      <w:marBottom w:val="0"/>
      <w:divBdr>
        <w:top w:val="none" w:sz="0" w:space="0" w:color="auto"/>
        <w:left w:val="none" w:sz="0" w:space="0" w:color="auto"/>
        <w:bottom w:val="none" w:sz="0" w:space="0" w:color="auto"/>
        <w:right w:val="none" w:sz="0" w:space="0" w:color="auto"/>
      </w:divBdr>
    </w:div>
    <w:div w:id="623117607">
      <w:bodyDiv w:val="1"/>
      <w:marLeft w:val="0"/>
      <w:marRight w:val="0"/>
      <w:marTop w:val="0"/>
      <w:marBottom w:val="0"/>
      <w:divBdr>
        <w:top w:val="none" w:sz="0" w:space="0" w:color="auto"/>
        <w:left w:val="none" w:sz="0" w:space="0" w:color="auto"/>
        <w:bottom w:val="none" w:sz="0" w:space="0" w:color="auto"/>
        <w:right w:val="none" w:sz="0" w:space="0" w:color="auto"/>
      </w:divBdr>
    </w:div>
    <w:div w:id="834077264">
      <w:bodyDiv w:val="1"/>
      <w:marLeft w:val="0"/>
      <w:marRight w:val="0"/>
      <w:marTop w:val="0"/>
      <w:marBottom w:val="0"/>
      <w:divBdr>
        <w:top w:val="none" w:sz="0" w:space="0" w:color="auto"/>
        <w:left w:val="none" w:sz="0" w:space="0" w:color="auto"/>
        <w:bottom w:val="none" w:sz="0" w:space="0" w:color="auto"/>
        <w:right w:val="none" w:sz="0" w:space="0" w:color="auto"/>
      </w:divBdr>
    </w:div>
    <w:div w:id="874076621">
      <w:bodyDiv w:val="1"/>
      <w:marLeft w:val="0"/>
      <w:marRight w:val="0"/>
      <w:marTop w:val="0"/>
      <w:marBottom w:val="0"/>
      <w:divBdr>
        <w:top w:val="none" w:sz="0" w:space="0" w:color="auto"/>
        <w:left w:val="none" w:sz="0" w:space="0" w:color="auto"/>
        <w:bottom w:val="none" w:sz="0" w:space="0" w:color="auto"/>
        <w:right w:val="none" w:sz="0" w:space="0" w:color="auto"/>
      </w:divBdr>
    </w:div>
    <w:div w:id="920676301">
      <w:bodyDiv w:val="1"/>
      <w:marLeft w:val="0"/>
      <w:marRight w:val="0"/>
      <w:marTop w:val="0"/>
      <w:marBottom w:val="0"/>
      <w:divBdr>
        <w:top w:val="none" w:sz="0" w:space="0" w:color="auto"/>
        <w:left w:val="none" w:sz="0" w:space="0" w:color="auto"/>
        <w:bottom w:val="none" w:sz="0" w:space="0" w:color="auto"/>
        <w:right w:val="none" w:sz="0" w:space="0" w:color="auto"/>
      </w:divBdr>
    </w:div>
    <w:div w:id="944193183">
      <w:bodyDiv w:val="1"/>
      <w:marLeft w:val="0"/>
      <w:marRight w:val="0"/>
      <w:marTop w:val="0"/>
      <w:marBottom w:val="0"/>
      <w:divBdr>
        <w:top w:val="none" w:sz="0" w:space="0" w:color="auto"/>
        <w:left w:val="none" w:sz="0" w:space="0" w:color="auto"/>
        <w:bottom w:val="none" w:sz="0" w:space="0" w:color="auto"/>
        <w:right w:val="none" w:sz="0" w:space="0" w:color="auto"/>
      </w:divBdr>
    </w:div>
    <w:div w:id="1047100890">
      <w:bodyDiv w:val="1"/>
      <w:marLeft w:val="0"/>
      <w:marRight w:val="0"/>
      <w:marTop w:val="0"/>
      <w:marBottom w:val="0"/>
      <w:divBdr>
        <w:top w:val="none" w:sz="0" w:space="0" w:color="auto"/>
        <w:left w:val="none" w:sz="0" w:space="0" w:color="auto"/>
        <w:bottom w:val="none" w:sz="0" w:space="0" w:color="auto"/>
        <w:right w:val="none" w:sz="0" w:space="0" w:color="auto"/>
      </w:divBdr>
    </w:div>
    <w:div w:id="1077897294">
      <w:bodyDiv w:val="1"/>
      <w:marLeft w:val="0"/>
      <w:marRight w:val="0"/>
      <w:marTop w:val="0"/>
      <w:marBottom w:val="0"/>
      <w:divBdr>
        <w:top w:val="none" w:sz="0" w:space="0" w:color="auto"/>
        <w:left w:val="none" w:sz="0" w:space="0" w:color="auto"/>
        <w:bottom w:val="none" w:sz="0" w:space="0" w:color="auto"/>
        <w:right w:val="none" w:sz="0" w:space="0" w:color="auto"/>
      </w:divBdr>
    </w:div>
    <w:div w:id="1371223681">
      <w:bodyDiv w:val="1"/>
      <w:marLeft w:val="0"/>
      <w:marRight w:val="0"/>
      <w:marTop w:val="0"/>
      <w:marBottom w:val="0"/>
      <w:divBdr>
        <w:top w:val="none" w:sz="0" w:space="0" w:color="auto"/>
        <w:left w:val="none" w:sz="0" w:space="0" w:color="auto"/>
        <w:bottom w:val="none" w:sz="0" w:space="0" w:color="auto"/>
        <w:right w:val="none" w:sz="0" w:space="0" w:color="auto"/>
      </w:divBdr>
    </w:div>
    <w:div w:id="1456631258">
      <w:bodyDiv w:val="1"/>
      <w:marLeft w:val="0"/>
      <w:marRight w:val="0"/>
      <w:marTop w:val="0"/>
      <w:marBottom w:val="0"/>
      <w:divBdr>
        <w:top w:val="none" w:sz="0" w:space="0" w:color="auto"/>
        <w:left w:val="none" w:sz="0" w:space="0" w:color="auto"/>
        <w:bottom w:val="none" w:sz="0" w:space="0" w:color="auto"/>
        <w:right w:val="none" w:sz="0" w:space="0" w:color="auto"/>
      </w:divBdr>
    </w:div>
    <w:div w:id="1635481090">
      <w:bodyDiv w:val="1"/>
      <w:marLeft w:val="0"/>
      <w:marRight w:val="0"/>
      <w:marTop w:val="0"/>
      <w:marBottom w:val="0"/>
      <w:divBdr>
        <w:top w:val="none" w:sz="0" w:space="0" w:color="auto"/>
        <w:left w:val="none" w:sz="0" w:space="0" w:color="auto"/>
        <w:bottom w:val="none" w:sz="0" w:space="0" w:color="auto"/>
        <w:right w:val="none" w:sz="0" w:space="0" w:color="auto"/>
      </w:divBdr>
    </w:div>
    <w:div w:id="1827937827">
      <w:bodyDiv w:val="1"/>
      <w:marLeft w:val="0"/>
      <w:marRight w:val="0"/>
      <w:marTop w:val="0"/>
      <w:marBottom w:val="0"/>
      <w:divBdr>
        <w:top w:val="none" w:sz="0" w:space="0" w:color="auto"/>
        <w:left w:val="none" w:sz="0" w:space="0" w:color="auto"/>
        <w:bottom w:val="none" w:sz="0" w:space="0" w:color="auto"/>
        <w:right w:val="none" w:sz="0" w:space="0" w:color="auto"/>
      </w:divBdr>
    </w:div>
    <w:div w:id="1850607763">
      <w:bodyDiv w:val="1"/>
      <w:marLeft w:val="0"/>
      <w:marRight w:val="0"/>
      <w:marTop w:val="0"/>
      <w:marBottom w:val="0"/>
      <w:divBdr>
        <w:top w:val="none" w:sz="0" w:space="0" w:color="auto"/>
        <w:left w:val="none" w:sz="0" w:space="0" w:color="auto"/>
        <w:bottom w:val="none" w:sz="0" w:space="0" w:color="auto"/>
        <w:right w:val="none" w:sz="0" w:space="0" w:color="auto"/>
      </w:divBdr>
    </w:div>
    <w:div w:id="2028942822">
      <w:bodyDiv w:val="1"/>
      <w:marLeft w:val="0"/>
      <w:marRight w:val="0"/>
      <w:marTop w:val="0"/>
      <w:marBottom w:val="0"/>
      <w:divBdr>
        <w:top w:val="none" w:sz="0" w:space="0" w:color="auto"/>
        <w:left w:val="none" w:sz="0" w:space="0" w:color="auto"/>
        <w:bottom w:val="none" w:sz="0" w:space="0" w:color="auto"/>
        <w:right w:val="none" w:sz="0" w:space="0" w:color="auto"/>
      </w:divBdr>
    </w:div>
    <w:div w:id="20904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Woolnough</dc:creator>
  <cp:lastModifiedBy>Adam Woolnough</cp:lastModifiedBy>
  <cp:revision>7</cp:revision>
  <dcterms:created xsi:type="dcterms:W3CDTF">2019-01-24T17:45:00Z</dcterms:created>
  <dcterms:modified xsi:type="dcterms:W3CDTF">2019-01-25T17:05:00Z</dcterms:modified>
</cp:coreProperties>
</file>